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38" w:rsidRPr="00E11145" w:rsidRDefault="000C2A38" w:rsidP="000C2A38">
      <w:pPr>
        <w:pStyle w:val="BodyTextIndent"/>
        <w:ind w:left="360"/>
        <w:jc w:val="both"/>
        <w:rPr>
          <w:b/>
          <w:color w:val="000000"/>
          <w:sz w:val="28"/>
          <w:szCs w:val="28"/>
          <w:u w:val="single"/>
        </w:rPr>
      </w:pPr>
      <w:r w:rsidRPr="001D43C0">
        <w:rPr>
          <w:b/>
          <w:color w:val="000000"/>
          <w:sz w:val="28"/>
          <w:szCs w:val="28"/>
          <w:u w:val="single"/>
          <w:lang w:val="en-US"/>
        </w:rPr>
        <w:t xml:space="preserve">4. </w:t>
      </w:r>
      <w:r w:rsidRPr="001D43C0">
        <w:rPr>
          <w:b/>
          <w:color w:val="000000"/>
          <w:sz w:val="28"/>
          <w:szCs w:val="28"/>
          <w:u w:val="single"/>
        </w:rPr>
        <w:t xml:space="preserve">Дългосрочни договори за изкупуване на електрическа енергия </w:t>
      </w:r>
      <w:r w:rsidRPr="001D43C0">
        <w:rPr>
          <w:b/>
          <w:color w:val="000000"/>
          <w:sz w:val="28"/>
          <w:szCs w:val="28"/>
          <w:u w:val="single"/>
          <w:lang w:val="en-US"/>
        </w:rPr>
        <w:t>(</w:t>
      </w:r>
      <w:r w:rsidRPr="001D43C0">
        <w:rPr>
          <w:b/>
          <w:color w:val="000000"/>
          <w:sz w:val="28"/>
          <w:szCs w:val="28"/>
          <w:u w:val="single"/>
        </w:rPr>
        <w:t>ДДИЕЕ</w:t>
      </w:r>
      <w:r w:rsidRPr="001D43C0">
        <w:rPr>
          <w:b/>
          <w:color w:val="000000"/>
          <w:sz w:val="28"/>
          <w:szCs w:val="28"/>
          <w:u w:val="single"/>
          <w:lang w:val="en-US"/>
        </w:rPr>
        <w:t>)</w:t>
      </w:r>
      <w:r>
        <w:rPr>
          <w:b/>
          <w:color w:val="000000"/>
          <w:sz w:val="28"/>
          <w:szCs w:val="28"/>
          <w:u w:val="single"/>
        </w:rPr>
        <w:t xml:space="preserve"> – 40% от Регулирания пазар</w:t>
      </w:r>
    </w:p>
    <w:p w:rsidR="000C2A38" w:rsidRPr="00A209ED" w:rsidRDefault="000C2A38" w:rsidP="000C2A38">
      <w:pPr>
        <w:pStyle w:val="BodyTextIndent"/>
        <w:ind w:left="360"/>
        <w:jc w:val="both"/>
        <w:rPr>
          <w:color w:val="000000"/>
          <w:sz w:val="28"/>
          <w:szCs w:val="28"/>
        </w:rPr>
      </w:pPr>
      <w:r w:rsidRPr="00A209ED">
        <w:rPr>
          <w:color w:val="000000"/>
          <w:sz w:val="28"/>
          <w:szCs w:val="28"/>
        </w:rPr>
        <w:t xml:space="preserve">С решение № 327 от 11 май 2001 г. Министерският съвет е одобрил изграждането на нова мощност от два блока по 335 </w:t>
      </w:r>
      <w:proofErr w:type="spellStart"/>
      <w:r w:rsidRPr="00A209ED">
        <w:rPr>
          <w:color w:val="000000"/>
          <w:sz w:val="28"/>
          <w:szCs w:val="28"/>
        </w:rPr>
        <w:t>МВт</w:t>
      </w:r>
      <w:proofErr w:type="spellEnd"/>
      <w:r w:rsidRPr="00A209ED">
        <w:rPr>
          <w:color w:val="000000"/>
          <w:sz w:val="28"/>
          <w:szCs w:val="28"/>
        </w:rPr>
        <w:t xml:space="preserve"> /бруто/ за производство на електрическа енергия от местни лигнитни въглища на площадката на ТЕЦ „Марица изток 1“ и рехабилитацията и модернизацията на ТЕЦ „Марица изток 3“. Със същото решение МС е одобрил и доклад, относно проектите за изграждане на нова мощност на площадката на ТЕЦ „Марица изток 1“  и рехабилитацията и модернизацията на ТЕЦ „Марица изток 3“ като е възложил на председателя на Държавната агенция за енергетика и енергийни ресурси /ДАЕЕР/ да упражни контрол върху провеждането на преговори с потенциалните инвеститори.</w:t>
      </w:r>
    </w:p>
    <w:p w:rsidR="000C2A38" w:rsidRPr="00A209ED" w:rsidRDefault="000C2A38" w:rsidP="000C2A38">
      <w:pPr>
        <w:pStyle w:val="BodyTextIndent"/>
        <w:ind w:left="360"/>
        <w:jc w:val="both"/>
        <w:rPr>
          <w:color w:val="000000"/>
          <w:sz w:val="28"/>
          <w:szCs w:val="28"/>
        </w:rPr>
      </w:pPr>
      <w:r w:rsidRPr="00A209ED">
        <w:rPr>
          <w:color w:val="000000"/>
          <w:sz w:val="28"/>
          <w:szCs w:val="28"/>
        </w:rPr>
        <w:t>На основание на решение № 327 от 11 май 2001 г. на Министерският съвет и в резултат на проведените преговори с инвеститорите са сключени дългосрочни договори за изкупуване на електрическа енергия от 13. 06. 2001 г. между НЕК ЕАД от една страна и „</w:t>
      </w:r>
      <w:proofErr w:type="spellStart"/>
      <w:r w:rsidRPr="00A209ED">
        <w:rPr>
          <w:color w:val="000000"/>
          <w:sz w:val="28"/>
          <w:szCs w:val="28"/>
        </w:rPr>
        <w:t>КонтурГлобал</w:t>
      </w:r>
      <w:proofErr w:type="spellEnd"/>
      <w:r w:rsidRPr="00A209ED">
        <w:rPr>
          <w:color w:val="000000"/>
          <w:sz w:val="28"/>
          <w:szCs w:val="28"/>
        </w:rPr>
        <w:t xml:space="preserve"> Марица изток 3” ЕАД и „Ей и Ес 3С Марица изток 1” ЕООД, от друга.</w:t>
      </w:r>
    </w:p>
    <w:p w:rsidR="000C2A38" w:rsidRPr="00A209ED" w:rsidRDefault="000C2A38" w:rsidP="000C2A38">
      <w:pPr>
        <w:pStyle w:val="BodyTextIndent"/>
        <w:ind w:left="360"/>
        <w:jc w:val="both"/>
        <w:rPr>
          <w:color w:val="000000"/>
          <w:sz w:val="28"/>
          <w:szCs w:val="28"/>
        </w:rPr>
      </w:pPr>
      <w:r w:rsidRPr="00A209ED">
        <w:rPr>
          <w:color w:val="000000"/>
          <w:sz w:val="28"/>
          <w:szCs w:val="28"/>
        </w:rPr>
        <w:t>Към настоящия момент, разпоредбата на чл. 93а , ал.1 от Закона за енергетиката продължава да гарантира правата и задълженията по двата дългосрочни договора.</w:t>
      </w:r>
    </w:p>
    <w:p w:rsidR="000C2A38" w:rsidRPr="00A209ED" w:rsidRDefault="000C2A38" w:rsidP="000C2A38">
      <w:pPr>
        <w:pStyle w:val="BodyTextIndent"/>
        <w:ind w:left="360"/>
        <w:jc w:val="both"/>
        <w:rPr>
          <w:color w:val="000000"/>
          <w:sz w:val="28"/>
          <w:szCs w:val="28"/>
        </w:rPr>
      </w:pPr>
    </w:p>
    <w:p w:rsidR="000C2A38" w:rsidRPr="001D43C0" w:rsidRDefault="000C2A38" w:rsidP="000C2A38">
      <w:pPr>
        <w:pStyle w:val="BodyTextIndent"/>
        <w:ind w:left="360"/>
        <w:jc w:val="both"/>
        <w:rPr>
          <w:b/>
          <w:color w:val="000000"/>
          <w:sz w:val="28"/>
          <w:szCs w:val="28"/>
        </w:rPr>
      </w:pPr>
      <w:r w:rsidRPr="001D43C0">
        <w:rPr>
          <w:b/>
          <w:color w:val="000000"/>
          <w:sz w:val="28"/>
          <w:szCs w:val="28"/>
        </w:rPr>
        <w:t>4.1.</w:t>
      </w:r>
      <w:r w:rsidRPr="001D43C0">
        <w:rPr>
          <w:b/>
          <w:color w:val="000000"/>
          <w:sz w:val="28"/>
          <w:szCs w:val="28"/>
        </w:rPr>
        <w:tab/>
        <w:t>Кратък анализ на договорите</w:t>
      </w:r>
    </w:p>
    <w:p w:rsidR="000C2A38" w:rsidRPr="00A209ED" w:rsidRDefault="000C2A38" w:rsidP="000C2A38">
      <w:pPr>
        <w:pStyle w:val="BodyTextIndent"/>
        <w:ind w:left="360"/>
        <w:jc w:val="both"/>
        <w:rPr>
          <w:color w:val="000000"/>
          <w:sz w:val="28"/>
          <w:szCs w:val="28"/>
        </w:rPr>
      </w:pPr>
    </w:p>
    <w:p w:rsidR="000C2A38" w:rsidRPr="00A209ED" w:rsidRDefault="000C2A38" w:rsidP="000C2A38">
      <w:pPr>
        <w:pStyle w:val="BodyTextIndent"/>
        <w:ind w:left="360"/>
        <w:jc w:val="both"/>
        <w:rPr>
          <w:color w:val="000000"/>
          <w:sz w:val="28"/>
          <w:szCs w:val="28"/>
        </w:rPr>
      </w:pPr>
      <w:r w:rsidRPr="00A209ED">
        <w:rPr>
          <w:color w:val="000000"/>
          <w:sz w:val="28"/>
          <w:szCs w:val="28"/>
        </w:rPr>
        <w:t>Споразумението за закупуване на енергия от 13. 06. 2001 г.. между "НЕК" ЕАД и "Ей и Ес 3С Марица изток 1" ЕООД  предвижда в чл. 2.1. във връзка с чл. 15.2, "НЕК" ЕАД да изкупува цялото нетно количество електрическа енергия, произведено от двата блока на централата в продължение на 15 години от датата на въвеждане в пълна експлоатация. Общественият доставчик заплаща два пъти месечно фактури, които включват следното: плащания за мощност, плащания за енергия, плащания за всички допълнителни услуги, предоставяни от "Ей и Ес 3С Марица изток 1" ЕООД  за периода на фактуриране, други суми и данък добавена стойност, дължим върху което и да е от горепосочените плащания. ТЕЦ "Ей и Ес 3С Марица изток 1" ЕООД е въведен в пълна търговска експлоатация на 28 декември 2012 г., като продължителността на договора е до 2027 г.</w:t>
      </w:r>
    </w:p>
    <w:p w:rsidR="000C2A38" w:rsidRPr="00A209ED" w:rsidRDefault="000C2A38" w:rsidP="000C2A38">
      <w:pPr>
        <w:pStyle w:val="BodyTextIndent"/>
        <w:ind w:left="360"/>
        <w:jc w:val="both"/>
        <w:rPr>
          <w:color w:val="000000"/>
          <w:sz w:val="28"/>
          <w:szCs w:val="28"/>
        </w:rPr>
      </w:pPr>
      <w:r w:rsidRPr="00A209ED">
        <w:rPr>
          <w:color w:val="000000"/>
          <w:sz w:val="28"/>
          <w:szCs w:val="28"/>
        </w:rPr>
        <w:tab/>
        <w:t>Споразумението за изкупуване на електроенергия от 13. 06. 2001 г. между "НЕК" ЕАД и "</w:t>
      </w:r>
      <w:proofErr w:type="spellStart"/>
      <w:r w:rsidRPr="00A209ED">
        <w:rPr>
          <w:color w:val="000000"/>
          <w:sz w:val="28"/>
          <w:szCs w:val="28"/>
        </w:rPr>
        <w:t>КонтурГлобал</w:t>
      </w:r>
      <w:proofErr w:type="spellEnd"/>
      <w:r w:rsidRPr="00A209ED">
        <w:rPr>
          <w:color w:val="000000"/>
          <w:sz w:val="28"/>
          <w:szCs w:val="28"/>
        </w:rPr>
        <w:t xml:space="preserve"> Марица Изток 3"АД предвижда в чл. 11.1 и чл. 11.2 за период от 15 години след завършване на рехабилитацията </w:t>
      </w:r>
      <w:r w:rsidRPr="00A209ED">
        <w:rPr>
          <w:color w:val="000000"/>
          <w:sz w:val="28"/>
          <w:szCs w:val="28"/>
        </w:rPr>
        <w:lastRenderedPageBreak/>
        <w:t>на ТЕЦ "</w:t>
      </w:r>
      <w:proofErr w:type="spellStart"/>
      <w:r w:rsidRPr="00A209ED">
        <w:rPr>
          <w:color w:val="000000"/>
          <w:sz w:val="28"/>
          <w:szCs w:val="28"/>
        </w:rPr>
        <w:t>КонтурГлобал</w:t>
      </w:r>
      <w:proofErr w:type="spellEnd"/>
      <w:r w:rsidRPr="00A209ED">
        <w:rPr>
          <w:color w:val="000000"/>
          <w:sz w:val="28"/>
          <w:szCs w:val="28"/>
        </w:rPr>
        <w:t xml:space="preserve"> Марица Изток 3"АД, общественият доставчик да извършва месечни плащания за мощност по отношение на разполагаемата нетна мощност независимо от това дали </w:t>
      </w:r>
      <w:proofErr w:type="spellStart"/>
      <w:r w:rsidRPr="00A209ED">
        <w:rPr>
          <w:color w:val="000000"/>
          <w:sz w:val="28"/>
          <w:szCs w:val="28"/>
        </w:rPr>
        <w:t>диспечира</w:t>
      </w:r>
      <w:proofErr w:type="spellEnd"/>
      <w:r w:rsidRPr="00A209ED">
        <w:rPr>
          <w:color w:val="000000"/>
          <w:sz w:val="28"/>
          <w:szCs w:val="28"/>
        </w:rPr>
        <w:t xml:space="preserve"> централата, както и плащания за доставената електрическа енергия. Рехабилитацията на ТЕЦ "</w:t>
      </w:r>
      <w:proofErr w:type="spellStart"/>
      <w:r w:rsidRPr="00A209ED">
        <w:rPr>
          <w:color w:val="000000"/>
          <w:sz w:val="28"/>
          <w:szCs w:val="28"/>
        </w:rPr>
        <w:t>КонтурГлобал</w:t>
      </w:r>
      <w:proofErr w:type="spellEnd"/>
      <w:r w:rsidRPr="00A209ED">
        <w:rPr>
          <w:color w:val="000000"/>
          <w:sz w:val="28"/>
          <w:szCs w:val="28"/>
        </w:rPr>
        <w:t xml:space="preserve"> Марица Изток 3"АД е завършена на 22 февруари 2009 г., като продължителността на споразумението е до 2024 г.</w:t>
      </w:r>
    </w:p>
    <w:p w:rsidR="000C2A38" w:rsidRPr="00A209ED" w:rsidRDefault="000C2A38" w:rsidP="000C2A38">
      <w:pPr>
        <w:pStyle w:val="BodyTextIndent"/>
        <w:ind w:left="360"/>
        <w:jc w:val="both"/>
        <w:rPr>
          <w:color w:val="000000"/>
          <w:sz w:val="28"/>
          <w:szCs w:val="28"/>
        </w:rPr>
      </w:pPr>
      <w:r w:rsidRPr="00A209ED">
        <w:rPr>
          <w:color w:val="000000"/>
          <w:sz w:val="28"/>
          <w:szCs w:val="28"/>
        </w:rPr>
        <w:t xml:space="preserve">В допълнение съгласно Споразумението за закупуване на енергия от 13. 06. 2001 г.. между "НЕК" ЕАД и "Ей и Ес 3С Марица изток 1" ЕООД, чл. 10.7. „Защита на първоначалната инвестиция“, ако след отправната дата по договора настъпи промяна в законодателството която да доведе до нови разходи, то се коригират цените за енергия, за </w:t>
      </w:r>
      <w:proofErr w:type="spellStart"/>
      <w:r w:rsidRPr="00A209ED">
        <w:rPr>
          <w:color w:val="000000"/>
          <w:sz w:val="28"/>
          <w:szCs w:val="28"/>
        </w:rPr>
        <w:t>разполагаемост</w:t>
      </w:r>
      <w:proofErr w:type="spellEnd"/>
      <w:r w:rsidRPr="00A209ED">
        <w:rPr>
          <w:color w:val="000000"/>
          <w:sz w:val="28"/>
          <w:szCs w:val="28"/>
        </w:rPr>
        <w:t xml:space="preserve"> и за допълнителни услуги, така че "Ей и Ес 3С Марица изток 1" ЕООД  да реализира същата печалба след облагане с данъци, каквато би била реализирана ако не бяха налице допълнителните разходи.</w:t>
      </w:r>
    </w:p>
    <w:p w:rsidR="000C2A38" w:rsidRPr="00A209ED" w:rsidRDefault="000C2A38" w:rsidP="000C2A38">
      <w:pPr>
        <w:pStyle w:val="BodyTextIndent"/>
        <w:ind w:left="360"/>
        <w:jc w:val="both"/>
        <w:rPr>
          <w:color w:val="000000"/>
          <w:sz w:val="28"/>
          <w:szCs w:val="28"/>
        </w:rPr>
      </w:pPr>
      <w:r w:rsidRPr="00A209ED">
        <w:rPr>
          <w:color w:val="000000"/>
          <w:sz w:val="28"/>
          <w:szCs w:val="28"/>
        </w:rPr>
        <w:t>Аналогичен текст съществува и в Споразумението за изкупуване на електроенергия от 13. 06. 2001 г. между "НЕК" ЕАД и "</w:t>
      </w:r>
      <w:proofErr w:type="spellStart"/>
      <w:r w:rsidRPr="00A209ED">
        <w:rPr>
          <w:color w:val="000000"/>
          <w:sz w:val="28"/>
          <w:szCs w:val="28"/>
        </w:rPr>
        <w:t>КонтурГлобал</w:t>
      </w:r>
      <w:proofErr w:type="spellEnd"/>
      <w:r w:rsidRPr="00A209ED">
        <w:rPr>
          <w:color w:val="000000"/>
          <w:sz w:val="28"/>
          <w:szCs w:val="28"/>
        </w:rPr>
        <w:t xml:space="preserve"> Марица Изток 3"АД – чл. 11. 3.</w:t>
      </w:r>
    </w:p>
    <w:p w:rsidR="000C2A38" w:rsidRPr="001D43C0" w:rsidRDefault="000C2A38" w:rsidP="000C2A38">
      <w:pPr>
        <w:pStyle w:val="BodyTextIndent"/>
        <w:ind w:left="360"/>
        <w:jc w:val="both"/>
        <w:rPr>
          <w:b/>
          <w:color w:val="000000"/>
          <w:sz w:val="28"/>
          <w:szCs w:val="28"/>
        </w:rPr>
      </w:pPr>
      <w:r w:rsidRPr="001D43C0">
        <w:rPr>
          <w:b/>
          <w:color w:val="000000"/>
          <w:sz w:val="28"/>
          <w:szCs w:val="28"/>
        </w:rPr>
        <w:t>С оглед на изложеното, може да се заключи, че текстовете на двата договора прехвърлят изцяло пазарния риск от производителите към купувача, обществения доставчик „НЕК“ЕАД.</w:t>
      </w:r>
    </w:p>
    <w:p w:rsidR="000C2A38" w:rsidRPr="00A209ED" w:rsidRDefault="000C2A38" w:rsidP="000C2A38">
      <w:pPr>
        <w:pStyle w:val="BodyTextIndent"/>
        <w:ind w:left="360"/>
        <w:jc w:val="both"/>
        <w:rPr>
          <w:color w:val="000000"/>
          <w:sz w:val="28"/>
          <w:szCs w:val="28"/>
        </w:rPr>
      </w:pPr>
      <w:r w:rsidRPr="00A209ED">
        <w:rPr>
          <w:color w:val="000000"/>
          <w:sz w:val="28"/>
          <w:szCs w:val="28"/>
        </w:rPr>
        <w:t xml:space="preserve">Механизмите за ценообразуване и в двата договора са заложени в ценови модели, които осигуряват покриване на променливи, условно-постоянни и капиталови разходи, в т.ч. гарантирана висока възвращаемост на инвестициите и прехвърляне на всички рискове върху купувача НЕК ЕАД, Като такива те не съответстват на стандартните договори за изкупуване на електрическа енергия, сключвани на европейските пазари и противоречат на принципите и целите на Директива 2009/72/ЕС, както и на чл. 107 ал.1 от Договора за функциониране на ЕС.  Като резултат цените по двата договора са непазарни и </w:t>
      </w:r>
      <w:proofErr w:type="spellStart"/>
      <w:r w:rsidRPr="00A209ED">
        <w:rPr>
          <w:color w:val="000000"/>
          <w:sz w:val="28"/>
          <w:szCs w:val="28"/>
        </w:rPr>
        <w:t>восоки</w:t>
      </w:r>
      <w:proofErr w:type="spellEnd"/>
      <w:r w:rsidRPr="00A209ED">
        <w:rPr>
          <w:color w:val="000000"/>
          <w:sz w:val="28"/>
          <w:szCs w:val="28"/>
        </w:rPr>
        <w:t xml:space="preserve">: </w:t>
      </w:r>
    </w:p>
    <w:p w:rsidR="000C2A38" w:rsidRPr="004B782F" w:rsidRDefault="000C2A38" w:rsidP="000C2A38">
      <w:pPr>
        <w:pStyle w:val="BodyTextIndent"/>
        <w:ind w:left="0"/>
        <w:jc w:val="both"/>
        <w:rPr>
          <w:color w:val="000000"/>
          <w:sz w:val="28"/>
          <w:szCs w:val="28"/>
          <w:lang w:val="en-US"/>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334"/>
        <w:gridCol w:w="1458"/>
        <w:gridCol w:w="1322"/>
        <w:gridCol w:w="1676"/>
        <w:gridCol w:w="1515"/>
      </w:tblGrid>
      <w:tr w:rsidR="000C2A38" w:rsidRPr="001D43C0" w:rsidTr="00335835">
        <w:trPr>
          <w:trHeight w:val="2903"/>
        </w:trPr>
        <w:tc>
          <w:tcPr>
            <w:tcW w:w="2760" w:type="dxa"/>
            <w:vMerge w:val="restart"/>
          </w:tcPr>
          <w:p w:rsidR="000C2A38" w:rsidRPr="001D43C0" w:rsidRDefault="000C2A38" w:rsidP="00335835">
            <w:pPr>
              <w:spacing w:after="200" w:line="276" w:lineRule="auto"/>
              <w:ind w:left="127" w:firstLine="708"/>
              <w:jc w:val="both"/>
              <w:rPr>
                <w:rFonts w:ascii="Times New Roman" w:eastAsia="Calibri" w:hAnsi="Times New Roman"/>
                <w:szCs w:val="24"/>
                <w:lang w:val="ru-RU"/>
              </w:rPr>
            </w:pPr>
          </w:p>
          <w:p w:rsidR="000C2A38" w:rsidRPr="001D43C0" w:rsidRDefault="000C2A38" w:rsidP="00335835">
            <w:pPr>
              <w:spacing w:after="200" w:line="276" w:lineRule="auto"/>
              <w:jc w:val="both"/>
              <w:rPr>
                <w:rFonts w:ascii="Times New Roman" w:eastAsia="Calibri" w:hAnsi="Times New Roman"/>
                <w:szCs w:val="24"/>
                <w:lang w:val="ru-RU"/>
              </w:rPr>
            </w:pPr>
            <w:r w:rsidRPr="001D43C0">
              <w:rPr>
                <w:rFonts w:ascii="Times New Roman" w:eastAsia="Calibri" w:hAnsi="Times New Roman"/>
                <w:szCs w:val="24"/>
                <w:lang w:val="ru-RU"/>
              </w:rPr>
              <w:t xml:space="preserve">    </w:t>
            </w:r>
            <w:proofErr w:type="spellStart"/>
            <w:r w:rsidRPr="001D43C0">
              <w:rPr>
                <w:rFonts w:ascii="Times New Roman" w:eastAsia="Calibri" w:hAnsi="Times New Roman"/>
                <w:szCs w:val="24"/>
                <w:lang w:val="ru-RU"/>
              </w:rPr>
              <w:t>Производител</w:t>
            </w:r>
            <w:proofErr w:type="spellEnd"/>
          </w:p>
        </w:tc>
        <w:tc>
          <w:tcPr>
            <w:tcW w:w="2792" w:type="dxa"/>
            <w:gridSpan w:val="2"/>
          </w:tcPr>
          <w:p w:rsidR="000C2A38" w:rsidRPr="001D43C0" w:rsidRDefault="000C2A38" w:rsidP="00335835">
            <w:pPr>
              <w:rPr>
                <w:rFonts w:ascii="Times New Roman" w:eastAsia="Calibri" w:hAnsi="Times New Roman"/>
                <w:szCs w:val="24"/>
                <w:lang w:val="ru-RU"/>
              </w:rPr>
            </w:pPr>
          </w:p>
          <w:p w:rsidR="000C2A38" w:rsidRPr="001D43C0" w:rsidRDefault="000C2A38" w:rsidP="00335835">
            <w:pPr>
              <w:spacing w:after="200" w:line="276" w:lineRule="auto"/>
              <w:jc w:val="both"/>
              <w:rPr>
                <w:rFonts w:ascii="Times New Roman" w:eastAsia="Calibri" w:hAnsi="Times New Roman"/>
                <w:szCs w:val="24"/>
                <w:lang w:val="ru-RU"/>
              </w:rPr>
            </w:pPr>
            <w:r w:rsidRPr="001D43C0">
              <w:rPr>
                <w:rFonts w:ascii="Times New Roman" w:eastAsia="Calibri" w:hAnsi="Times New Roman"/>
                <w:szCs w:val="24"/>
                <w:lang w:val="ru-RU"/>
              </w:rPr>
              <w:t>Прогноза 01. 07. 2014 -30.06.2015</w:t>
            </w:r>
          </w:p>
        </w:tc>
        <w:tc>
          <w:tcPr>
            <w:tcW w:w="1322" w:type="dxa"/>
          </w:tcPr>
          <w:p w:rsidR="000C2A38" w:rsidRPr="001D43C0" w:rsidRDefault="000C2A38" w:rsidP="00335835">
            <w:pPr>
              <w:rPr>
                <w:rFonts w:ascii="Times New Roman" w:eastAsia="Calibri" w:hAnsi="Times New Roman"/>
                <w:sz w:val="22"/>
                <w:szCs w:val="22"/>
                <w:lang w:val="ru-RU"/>
              </w:rPr>
            </w:pPr>
            <w:proofErr w:type="spellStart"/>
            <w:r w:rsidRPr="001D43C0">
              <w:rPr>
                <w:rFonts w:ascii="Times New Roman" w:eastAsia="Calibri" w:hAnsi="Times New Roman"/>
                <w:sz w:val="22"/>
                <w:szCs w:val="22"/>
                <w:lang w:val="ru-RU"/>
              </w:rPr>
              <w:t>Средна</w:t>
            </w:r>
            <w:proofErr w:type="spellEnd"/>
            <w:r w:rsidRPr="001D43C0">
              <w:rPr>
                <w:rFonts w:ascii="Times New Roman" w:eastAsia="Calibri" w:hAnsi="Times New Roman"/>
                <w:sz w:val="22"/>
                <w:szCs w:val="22"/>
                <w:lang w:val="ru-RU"/>
              </w:rPr>
              <w:t xml:space="preserve"> цена на </w:t>
            </w:r>
            <w:proofErr w:type="spellStart"/>
            <w:r w:rsidRPr="001D43C0">
              <w:rPr>
                <w:rFonts w:ascii="Times New Roman" w:eastAsia="Calibri" w:hAnsi="Times New Roman"/>
                <w:sz w:val="22"/>
                <w:szCs w:val="22"/>
                <w:lang w:val="ru-RU"/>
              </w:rPr>
              <w:t>енергията</w:t>
            </w:r>
            <w:proofErr w:type="spellEnd"/>
            <w:r w:rsidRPr="001D43C0">
              <w:rPr>
                <w:rFonts w:ascii="Times New Roman" w:eastAsia="Calibri" w:hAnsi="Times New Roman"/>
                <w:sz w:val="22"/>
                <w:szCs w:val="22"/>
                <w:lang w:val="ru-RU"/>
              </w:rPr>
              <w:t xml:space="preserve"> за </w:t>
            </w:r>
            <w:proofErr w:type="spellStart"/>
            <w:r w:rsidRPr="001D43C0">
              <w:rPr>
                <w:rFonts w:ascii="Times New Roman" w:eastAsia="Calibri" w:hAnsi="Times New Roman"/>
                <w:sz w:val="22"/>
                <w:szCs w:val="22"/>
                <w:lang w:val="ru-RU"/>
              </w:rPr>
              <w:t>регулиран</w:t>
            </w:r>
            <w:proofErr w:type="spellEnd"/>
            <w:r w:rsidRPr="001D43C0">
              <w:rPr>
                <w:rFonts w:ascii="Times New Roman" w:eastAsia="Calibri" w:hAnsi="Times New Roman"/>
                <w:sz w:val="22"/>
                <w:szCs w:val="22"/>
                <w:lang w:val="ru-RU"/>
              </w:rPr>
              <w:t xml:space="preserve"> </w:t>
            </w:r>
            <w:proofErr w:type="spellStart"/>
            <w:r w:rsidRPr="001D43C0">
              <w:rPr>
                <w:rFonts w:ascii="Times New Roman" w:eastAsia="Calibri" w:hAnsi="Times New Roman"/>
                <w:sz w:val="22"/>
                <w:szCs w:val="22"/>
                <w:lang w:val="ru-RU"/>
              </w:rPr>
              <w:t>пазар</w:t>
            </w:r>
            <w:proofErr w:type="spellEnd"/>
            <w:r w:rsidRPr="001D43C0">
              <w:rPr>
                <w:rFonts w:ascii="Times New Roman" w:eastAsia="Calibri" w:hAnsi="Times New Roman"/>
                <w:sz w:val="22"/>
                <w:szCs w:val="22"/>
                <w:lang w:val="ru-RU"/>
              </w:rPr>
              <w:t xml:space="preserve"> с </w:t>
            </w:r>
            <w:proofErr w:type="spellStart"/>
            <w:r w:rsidRPr="001D43C0">
              <w:rPr>
                <w:rFonts w:ascii="Times New Roman" w:eastAsia="Calibri" w:hAnsi="Times New Roman"/>
                <w:sz w:val="22"/>
                <w:szCs w:val="22"/>
                <w:lang w:val="ru-RU"/>
              </w:rPr>
              <w:t>включени</w:t>
            </w:r>
            <w:proofErr w:type="spellEnd"/>
            <w:r w:rsidRPr="001D43C0">
              <w:rPr>
                <w:rFonts w:ascii="Times New Roman" w:eastAsia="Calibri" w:hAnsi="Times New Roman"/>
                <w:sz w:val="22"/>
                <w:szCs w:val="22"/>
                <w:lang w:val="ru-RU"/>
              </w:rPr>
              <w:t xml:space="preserve"> </w:t>
            </w:r>
            <w:proofErr w:type="spellStart"/>
            <w:r w:rsidRPr="001D43C0">
              <w:rPr>
                <w:rFonts w:ascii="Times New Roman" w:eastAsia="Calibri" w:hAnsi="Times New Roman"/>
                <w:sz w:val="22"/>
                <w:szCs w:val="22"/>
                <w:lang w:val="ru-RU"/>
              </w:rPr>
              <w:t>разходи</w:t>
            </w:r>
            <w:proofErr w:type="spellEnd"/>
            <w:r w:rsidRPr="001D43C0">
              <w:rPr>
                <w:rFonts w:ascii="Times New Roman" w:eastAsia="Calibri" w:hAnsi="Times New Roman"/>
                <w:sz w:val="22"/>
                <w:szCs w:val="22"/>
                <w:lang w:val="ru-RU"/>
              </w:rPr>
              <w:t xml:space="preserve"> за </w:t>
            </w:r>
            <w:proofErr w:type="spellStart"/>
            <w:r w:rsidRPr="001D43C0">
              <w:rPr>
                <w:rFonts w:ascii="Times New Roman" w:eastAsia="Calibri" w:hAnsi="Times New Roman"/>
                <w:sz w:val="22"/>
                <w:szCs w:val="22"/>
                <w:lang w:val="ru-RU"/>
              </w:rPr>
              <w:t>въглеродни</w:t>
            </w:r>
            <w:proofErr w:type="spellEnd"/>
            <w:r w:rsidRPr="001D43C0">
              <w:rPr>
                <w:rFonts w:ascii="Times New Roman" w:eastAsia="Calibri" w:hAnsi="Times New Roman"/>
                <w:sz w:val="22"/>
                <w:szCs w:val="22"/>
                <w:lang w:val="ru-RU"/>
              </w:rPr>
              <w:t xml:space="preserve"> </w:t>
            </w:r>
            <w:proofErr w:type="spellStart"/>
            <w:r w:rsidRPr="001D43C0">
              <w:rPr>
                <w:rFonts w:ascii="Times New Roman" w:eastAsia="Calibri" w:hAnsi="Times New Roman"/>
                <w:sz w:val="22"/>
                <w:szCs w:val="22"/>
                <w:lang w:val="ru-RU"/>
              </w:rPr>
              <w:t>емисии</w:t>
            </w:r>
            <w:proofErr w:type="spellEnd"/>
          </w:p>
          <w:p w:rsidR="000C2A38" w:rsidRPr="001D43C0" w:rsidRDefault="000C2A38" w:rsidP="00335835">
            <w:pPr>
              <w:spacing w:after="200" w:line="276" w:lineRule="auto"/>
              <w:jc w:val="both"/>
              <w:rPr>
                <w:rFonts w:ascii="Times New Roman" w:eastAsia="Calibri" w:hAnsi="Times New Roman"/>
                <w:sz w:val="22"/>
                <w:szCs w:val="22"/>
                <w:lang w:val="ru-RU"/>
              </w:rPr>
            </w:pPr>
          </w:p>
        </w:tc>
        <w:tc>
          <w:tcPr>
            <w:tcW w:w="1676" w:type="dxa"/>
          </w:tcPr>
          <w:p w:rsidR="000C2A38" w:rsidRPr="001D43C0" w:rsidRDefault="000C2A38" w:rsidP="00335835">
            <w:pPr>
              <w:rPr>
                <w:rFonts w:ascii="Times New Roman" w:eastAsia="Calibri" w:hAnsi="Times New Roman"/>
                <w:szCs w:val="24"/>
                <w:lang w:val="ru-RU"/>
              </w:rPr>
            </w:pPr>
          </w:p>
          <w:p w:rsidR="000C2A38" w:rsidRPr="001D43C0" w:rsidRDefault="000C2A38" w:rsidP="00335835">
            <w:pPr>
              <w:spacing w:after="200" w:line="276" w:lineRule="auto"/>
              <w:jc w:val="both"/>
              <w:rPr>
                <w:rFonts w:ascii="Times New Roman" w:eastAsia="Calibri" w:hAnsi="Times New Roman"/>
                <w:sz w:val="22"/>
                <w:szCs w:val="22"/>
                <w:lang w:val="ru-RU"/>
              </w:rPr>
            </w:pPr>
            <w:proofErr w:type="spellStart"/>
            <w:r w:rsidRPr="001D43C0">
              <w:rPr>
                <w:rFonts w:ascii="Times New Roman" w:eastAsia="Calibri" w:hAnsi="Times New Roman"/>
                <w:sz w:val="22"/>
                <w:szCs w:val="22"/>
                <w:lang w:val="ru-RU"/>
              </w:rPr>
              <w:t>Средна</w:t>
            </w:r>
            <w:proofErr w:type="spellEnd"/>
            <w:r w:rsidRPr="001D43C0">
              <w:rPr>
                <w:rFonts w:ascii="Times New Roman" w:eastAsia="Calibri" w:hAnsi="Times New Roman"/>
                <w:sz w:val="22"/>
                <w:szCs w:val="22"/>
                <w:lang w:val="ru-RU"/>
              </w:rPr>
              <w:t xml:space="preserve"> цена на </w:t>
            </w:r>
            <w:proofErr w:type="spellStart"/>
            <w:r w:rsidRPr="001D43C0">
              <w:rPr>
                <w:rFonts w:ascii="Times New Roman" w:eastAsia="Calibri" w:hAnsi="Times New Roman"/>
                <w:sz w:val="22"/>
                <w:szCs w:val="22"/>
                <w:lang w:val="ru-RU"/>
              </w:rPr>
              <w:t>енергията</w:t>
            </w:r>
            <w:proofErr w:type="spellEnd"/>
            <w:r w:rsidRPr="001D43C0">
              <w:rPr>
                <w:rFonts w:ascii="Times New Roman" w:eastAsia="Calibri" w:hAnsi="Times New Roman"/>
                <w:sz w:val="22"/>
                <w:szCs w:val="22"/>
                <w:lang w:val="ru-RU"/>
              </w:rPr>
              <w:t xml:space="preserve"> за </w:t>
            </w:r>
            <w:proofErr w:type="gramStart"/>
            <w:r w:rsidRPr="001D43C0">
              <w:rPr>
                <w:rFonts w:ascii="Times New Roman" w:eastAsia="Calibri" w:hAnsi="Times New Roman"/>
                <w:sz w:val="22"/>
                <w:szCs w:val="22"/>
                <w:lang w:val="ru-RU"/>
              </w:rPr>
              <w:t>свободен</w:t>
            </w:r>
            <w:proofErr w:type="gramEnd"/>
            <w:r w:rsidRPr="001D43C0">
              <w:rPr>
                <w:rFonts w:ascii="Times New Roman" w:eastAsia="Calibri" w:hAnsi="Times New Roman"/>
                <w:sz w:val="22"/>
                <w:szCs w:val="22"/>
                <w:lang w:val="ru-RU"/>
              </w:rPr>
              <w:t xml:space="preserve"> </w:t>
            </w:r>
            <w:proofErr w:type="spellStart"/>
            <w:r w:rsidRPr="001D43C0">
              <w:rPr>
                <w:rFonts w:ascii="Times New Roman" w:eastAsia="Calibri" w:hAnsi="Times New Roman"/>
                <w:sz w:val="22"/>
                <w:szCs w:val="22"/>
                <w:lang w:val="ru-RU"/>
              </w:rPr>
              <w:t>пазар</w:t>
            </w:r>
            <w:proofErr w:type="spellEnd"/>
            <w:r w:rsidRPr="001D43C0">
              <w:rPr>
                <w:rFonts w:ascii="Times New Roman" w:eastAsia="Calibri" w:hAnsi="Times New Roman"/>
                <w:sz w:val="22"/>
                <w:szCs w:val="22"/>
                <w:lang w:val="ru-RU"/>
              </w:rPr>
              <w:t xml:space="preserve"> от производители</w:t>
            </w:r>
          </w:p>
        </w:tc>
        <w:tc>
          <w:tcPr>
            <w:tcW w:w="1515" w:type="dxa"/>
          </w:tcPr>
          <w:p w:rsidR="000C2A38" w:rsidRPr="001D43C0" w:rsidRDefault="000C2A38" w:rsidP="00335835">
            <w:pPr>
              <w:rPr>
                <w:rFonts w:ascii="Times New Roman" w:eastAsia="Calibri" w:hAnsi="Times New Roman"/>
                <w:szCs w:val="24"/>
                <w:lang w:val="ru-RU"/>
              </w:rPr>
            </w:pPr>
          </w:p>
          <w:p w:rsidR="000C2A38" w:rsidRPr="001D43C0" w:rsidRDefault="000C2A38" w:rsidP="00335835">
            <w:pPr>
              <w:spacing w:after="200" w:line="276" w:lineRule="auto"/>
              <w:jc w:val="both"/>
              <w:rPr>
                <w:rFonts w:ascii="Times New Roman" w:eastAsia="Calibri" w:hAnsi="Times New Roman"/>
                <w:szCs w:val="24"/>
                <w:lang w:val="ru-RU"/>
              </w:rPr>
            </w:pPr>
            <w:proofErr w:type="spellStart"/>
            <w:r w:rsidRPr="001D43C0">
              <w:rPr>
                <w:rFonts w:ascii="Times New Roman" w:eastAsia="Calibri" w:hAnsi="Times New Roman"/>
                <w:szCs w:val="24"/>
                <w:lang w:val="ru-RU"/>
              </w:rPr>
              <w:t>Средна</w:t>
            </w:r>
            <w:proofErr w:type="spellEnd"/>
            <w:r w:rsidRPr="001D43C0">
              <w:rPr>
                <w:rFonts w:ascii="Times New Roman" w:eastAsia="Calibri" w:hAnsi="Times New Roman"/>
                <w:szCs w:val="24"/>
                <w:lang w:val="ru-RU"/>
              </w:rPr>
              <w:t xml:space="preserve"> цена на </w:t>
            </w:r>
            <w:proofErr w:type="spellStart"/>
            <w:r w:rsidRPr="001D43C0">
              <w:rPr>
                <w:rFonts w:ascii="Times New Roman" w:eastAsia="Calibri" w:hAnsi="Times New Roman"/>
                <w:szCs w:val="24"/>
                <w:lang w:val="ru-RU"/>
              </w:rPr>
              <w:t>енергията</w:t>
            </w:r>
            <w:proofErr w:type="spellEnd"/>
            <w:r w:rsidRPr="001D43C0">
              <w:rPr>
                <w:rFonts w:ascii="Times New Roman" w:eastAsia="Calibri" w:hAnsi="Times New Roman"/>
                <w:szCs w:val="24"/>
                <w:lang w:val="ru-RU"/>
              </w:rPr>
              <w:t xml:space="preserve"> за свободен </w:t>
            </w:r>
            <w:proofErr w:type="spellStart"/>
            <w:r w:rsidRPr="001D43C0">
              <w:rPr>
                <w:rFonts w:ascii="Times New Roman" w:eastAsia="Calibri" w:hAnsi="Times New Roman"/>
                <w:szCs w:val="24"/>
                <w:lang w:val="ru-RU"/>
              </w:rPr>
              <w:t>пазар</w:t>
            </w:r>
            <w:proofErr w:type="spellEnd"/>
            <w:r w:rsidRPr="001D43C0">
              <w:rPr>
                <w:rFonts w:ascii="Times New Roman" w:eastAsia="Calibri" w:hAnsi="Times New Roman"/>
                <w:szCs w:val="24"/>
                <w:lang w:val="ru-RU"/>
              </w:rPr>
              <w:t xml:space="preserve">, отнесена </w:t>
            </w:r>
            <w:proofErr w:type="spellStart"/>
            <w:r w:rsidRPr="001D43C0">
              <w:rPr>
                <w:rFonts w:ascii="Times New Roman" w:eastAsia="Calibri" w:hAnsi="Times New Roman"/>
                <w:szCs w:val="24"/>
                <w:lang w:val="ru-RU"/>
              </w:rPr>
              <w:t>към</w:t>
            </w:r>
            <w:proofErr w:type="spellEnd"/>
            <w:r w:rsidRPr="001D43C0">
              <w:rPr>
                <w:rFonts w:ascii="Times New Roman" w:eastAsia="Calibri" w:hAnsi="Times New Roman"/>
                <w:szCs w:val="24"/>
                <w:lang w:val="ru-RU"/>
              </w:rPr>
              <w:t xml:space="preserve"> </w:t>
            </w:r>
            <w:proofErr w:type="spellStart"/>
            <w:r w:rsidRPr="001D43C0">
              <w:rPr>
                <w:rFonts w:ascii="Times New Roman" w:eastAsia="Calibri" w:hAnsi="Times New Roman"/>
                <w:szCs w:val="24"/>
                <w:lang w:val="ru-RU"/>
              </w:rPr>
              <w:t>средна</w:t>
            </w:r>
            <w:proofErr w:type="spellEnd"/>
            <w:r w:rsidRPr="001D43C0">
              <w:rPr>
                <w:rFonts w:ascii="Times New Roman" w:eastAsia="Calibri" w:hAnsi="Times New Roman"/>
                <w:szCs w:val="24"/>
                <w:lang w:val="ru-RU"/>
              </w:rPr>
              <w:t xml:space="preserve"> цена на МИ</w:t>
            </w:r>
            <w:proofErr w:type="gramStart"/>
            <w:r w:rsidRPr="001D43C0">
              <w:rPr>
                <w:rFonts w:ascii="Times New Roman" w:eastAsia="Calibri" w:hAnsi="Times New Roman"/>
                <w:szCs w:val="24"/>
                <w:lang w:val="ru-RU"/>
              </w:rPr>
              <w:t>1</w:t>
            </w:r>
            <w:proofErr w:type="gramEnd"/>
            <w:r w:rsidRPr="001D43C0">
              <w:rPr>
                <w:rFonts w:ascii="Times New Roman" w:eastAsia="Calibri" w:hAnsi="Times New Roman"/>
                <w:szCs w:val="24"/>
                <w:lang w:val="ru-RU"/>
              </w:rPr>
              <w:t xml:space="preserve"> и МИ3</w:t>
            </w:r>
          </w:p>
        </w:tc>
      </w:tr>
      <w:tr w:rsidR="000C2A38" w:rsidRPr="001D43C0" w:rsidTr="00335835">
        <w:trPr>
          <w:trHeight w:val="396"/>
        </w:trPr>
        <w:tc>
          <w:tcPr>
            <w:tcW w:w="2760" w:type="dxa"/>
            <w:vMerge/>
          </w:tcPr>
          <w:p w:rsidR="000C2A38" w:rsidRPr="001D43C0" w:rsidRDefault="000C2A38" w:rsidP="00335835">
            <w:pPr>
              <w:spacing w:after="200" w:line="276" w:lineRule="auto"/>
              <w:ind w:left="127" w:firstLine="708"/>
              <w:jc w:val="both"/>
              <w:rPr>
                <w:rFonts w:ascii="Times New Roman" w:eastAsia="Calibri" w:hAnsi="Times New Roman"/>
                <w:szCs w:val="24"/>
                <w:lang w:val="ru-RU"/>
              </w:rPr>
            </w:pPr>
          </w:p>
        </w:tc>
        <w:tc>
          <w:tcPr>
            <w:tcW w:w="1334" w:type="dxa"/>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 xml:space="preserve"> к.1</w:t>
            </w:r>
          </w:p>
        </w:tc>
        <w:tc>
          <w:tcPr>
            <w:tcW w:w="1458" w:type="dxa"/>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к.2</w:t>
            </w:r>
          </w:p>
        </w:tc>
        <w:tc>
          <w:tcPr>
            <w:tcW w:w="1322" w:type="dxa"/>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к.3</w:t>
            </w:r>
          </w:p>
        </w:tc>
        <w:tc>
          <w:tcPr>
            <w:tcW w:w="1676" w:type="dxa"/>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к.4</w:t>
            </w:r>
          </w:p>
        </w:tc>
        <w:tc>
          <w:tcPr>
            <w:tcW w:w="1515" w:type="dxa"/>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к.4/к.3</w:t>
            </w:r>
          </w:p>
        </w:tc>
      </w:tr>
      <w:tr w:rsidR="000C2A38" w:rsidRPr="001D43C0" w:rsidTr="00335835">
        <w:trPr>
          <w:trHeight w:val="480"/>
        </w:trPr>
        <w:tc>
          <w:tcPr>
            <w:tcW w:w="2760" w:type="dxa"/>
            <w:vMerge/>
          </w:tcPr>
          <w:p w:rsidR="000C2A38" w:rsidRPr="001D43C0" w:rsidRDefault="000C2A38" w:rsidP="00335835">
            <w:pPr>
              <w:spacing w:after="200" w:line="276" w:lineRule="auto"/>
              <w:ind w:left="127" w:firstLine="708"/>
              <w:jc w:val="both"/>
              <w:rPr>
                <w:rFonts w:ascii="Times New Roman" w:eastAsia="Calibri" w:hAnsi="Times New Roman"/>
                <w:szCs w:val="24"/>
                <w:lang w:val="ru-RU"/>
              </w:rPr>
            </w:pPr>
          </w:p>
        </w:tc>
        <w:tc>
          <w:tcPr>
            <w:tcW w:w="1334" w:type="dxa"/>
          </w:tcPr>
          <w:p w:rsidR="000C2A38" w:rsidRPr="001D43C0" w:rsidRDefault="000C2A38" w:rsidP="00335835">
            <w:pPr>
              <w:rPr>
                <w:rFonts w:ascii="Times New Roman" w:eastAsia="Calibri" w:hAnsi="Times New Roman"/>
                <w:szCs w:val="24"/>
                <w:lang w:val="ru-RU"/>
              </w:rPr>
            </w:pPr>
            <w:proofErr w:type="spellStart"/>
            <w:r w:rsidRPr="001D43C0">
              <w:rPr>
                <w:rFonts w:ascii="Times New Roman" w:eastAsia="Calibri" w:hAnsi="Times New Roman"/>
                <w:szCs w:val="24"/>
                <w:lang w:val="ru-RU"/>
              </w:rPr>
              <w:t>МВтч</w:t>
            </w:r>
            <w:proofErr w:type="spellEnd"/>
          </w:p>
        </w:tc>
        <w:tc>
          <w:tcPr>
            <w:tcW w:w="1458" w:type="dxa"/>
          </w:tcPr>
          <w:p w:rsidR="000C2A38" w:rsidRPr="001D43C0" w:rsidRDefault="000C2A38" w:rsidP="00335835">
            <w:pPr>
              <w:rPr>
                <w:rFonts w:ascii="Times New Roman" w:eastAsia="Calibri" w:hAnsi="Times New Roman"/>
                <w:szCs w:val="24"/>
                <w:lang w:val="ru-RU"/>
              </w:rPr>
            </w:pPr>
            <w:proofErr w:type="spellStart"/>
            <w:r w:rsidRPr="001D43C0">
              <w:rPr>
                <w:rFonts w:ascii="Times New Roman" w:eastAsia="Calibri" w:hAnsi="Times New Roman"/>
                <w:szCs w:val="24"/>
                <w:lang w:val="ru-RU"/>
              </w:rPr>
              <w:t>хил</w:t>
            </w:r>
            <w:proofErr w:type="gramStart"/>
            <w:r w:rsidRPr="001D43C0">
              <w:rPr>
                <w:rFonts w:ascii="Times New Roman" w:eastAsia="Calibri" w:hAnsi="Times New Roman"/>
                <w:szCs w:val="24"/>
                <w:lang w:val="ru-RU"/>
              </w:rPr>
              <w:t>.л</w:t>
            </w:r>
            <w:proofErr w:type="gramEnd"/>
            <w:r w:rsidRPr="001D43C0">
              <w:rPr>
                <w:rFonts w:ascii="Times New Roman" w:eastAsia="Calibri" w:hAnsi="Times New Roman"/>
                <w:szCs w:val="24"/>
                <w:lang w:val="ru-RU"/>
              </w:rPr>
              <w:t>в</w:t>
            </w:r>
            <w:proofErr w:type="spellEnd"/>
            <w:r w:rsidRPr="001D43C0">
              <w:rPr>
                <w:rFonts w:ascii="Times New Roman" w:eastAsia="Calibri" w:hAnsi="Times New Roman"/>
                <w:szCs w:val="24"/>
                <w:lang w:val="ru-RU"/>
              </w:rPr>
              <w:t>.</w:t>
            </w:r>
          </w:p>
        </w:tc>
        <w:tc>
          <w:tcPr>
            <w:tcW w:w="1322" w:type="dxa"/>
          </w:tcPr>
          <w:p w:rsidR="000C2A38" w:rsidRPr="001D43C0" w:rsidRDefault="000C2A38" w:rsidP="00335835">
            <w:pPr>
              <w:rPr>
                <w:rFonts w:ascii="Times New Roman" w:eastAsia="Calibri" w:hAnsi="Times New Roman"/>
                <w:szCs w:val="24"/>
                <w:lang w:val="ru-RU"/>
              </w:rPr>
            </w:pPr>
            <w:proofErr w:type="spellStart"/>
            <w:r w:rsidRPr="001D43C0">
              <w:rPr>
                <w:rFonts w:ascii="Times New Roman" w:eastAsia="Calibri" w:hAnsi="Times New Roman"/>
                <w:szCs w:val="24"/>
                <w:lang w:val="ru-RU"/>
              </w:rPr>
              <w:t>лв</w:t>
            </w:r>
            <w:proofErr w:type="spellEnd"/>
            <w:r w:rsidRPr="001D43C0">
              <w:rPr>
                <w:rFonts w:ascii="Times New Roman" w:eastAsia="Calibri" w:hAnsi="Times New Roman"/>
                <w:szCs w:val="24"/>
                <w:lang w:val="ru-RU"/>
              </w:rPr>
              <w:t>./</w:t>
            </w:r>
            <w:proofErr w:type="spellStart"/>
            <w:r w:rsidRPr="001D43C0">
              <w:rPr>
                <w:rFonts w:ascii="Times New Roman" w:eastAsia="Calibri" w:hAnsi="Times New Roman"/>
                <w:szCs w:val="24"/>
                <w:lang w:val="ru-RU"/>
              </w:rPr>
              <w:t>МВтч</w:t>
            </w:r>
            <w:proofErr w:type="spellEnd"/>
          </w:p>
        </w:tc>
        <w:tc>
          <w:tcPr>
            <w:tcW w:w="1676" w:type="dxa"/>
          </w:tcPr>
          <w:p w:rsidR="000C2A38" w:rsidRPr="001D43C0" w:rsidRDefault="000C2A38" w:rsidP="00335835">
            <w:pPr>
              <w:rPr>
                <w:rFonts w:ascii="Times New Roman" w:eastAsia="Calibri" w:hAnsi="Times New Roman"/>
                <w:szCs w:val="24"/>
                <w:lang w:val="ru-RU"/>
              </w:rPr>
            </w:pPr>
            <w:proofErr w:type="spellStart"/>
            <w:r w:rsidRPr="001D43C0">
              <w:rPr>
                <w:rFonts w:ascii="Times New Roman" w:eastAsia="Calibri" w:hAnsi="Times New Roman"/>
                <w:szCs w:val="24"/>
                <w:lang w:val="ru-RU"/>
              </w:rPr>
              <w:t>лв</w:t>
            </w:r>
            <w:proofErr w:type="spellEnd"/>
            <w:r w:rsidRPr="001D43C0">
              <w:rPr>
                <w:rFonts w:ascii="Times New Roman" w:eastAsia="Calibri" w:hAnsi="Times New Roman"/>
                <w:szCs w:val="24"/>
                <w:lang w:val="ru-RU"/>
              </w:rPr>
              <w:t>./</w:t>
            </w:r>
            <w:proofErr w:type="spellStart"/>
            <w:r w:rsidRPr="001D43C0">
              <w:rPr>
                <w:rFonts w:ascii="Times New Roman" w:eastAsia="Calibri" w:hAnsi="Times New Roman"/>
                <w:szCs w:val="24"/>
                <w:lang w:val="ru-RU"/>
              </w:rPr>
              <w:t>МВтч</w:t>
            </w:r>
            <w:proofErr w:type="spellEnd"/>
          </w:p>
        </w:tc>
        <w:tc>
          <w:tcPr>
            <w:tcW w:w="1515" w:type="dxa"/>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r w:rsidR="000C2A38" w:rsidRPr="001D43C0" w:rsidTr="00335835">
        <w:trPr>
          <w:trHeight w:val="833"/>
        </w:trPr>
        <w:tc>
          <w:tcPr>
            <w:tcW w:w="2760" w:type="dxa"/>
          </w:tcPr>
          <w:p w:rsidR="000C2A38" w:rsidRPr="001D43C0" w:rsidRDefault="000C2A38" w:rsidP="00335835">
            <w:pPr>
              <w:spacing w:after="200" w:line="276" w:lineRule="auto"/>
              <w:jc w:val="both"/>
              <w:rPr>
                <w:rFonts w:ascii="Times New Roman" w:eastAsia="Calibri" w:hAnsi="Times New Roman"/>
                <w:b/>
                <w:szCs w:val="24"/>
                <w:lang w:val="ru-RU"/>
              </w:rPr>
            </w:pPr>
            <w:proofErr w:type="spellStart"/>
            <w:r w:rsidRPr="001D43C0">
              <w:rPr>
                <w:rFonts w:ascii="Times New Roman" w:eastAsia="Calibri" w:hAnsi="Times New Roman"/>
                <w:b/>
                <w:szCs w:val="24"/>
                <w:lang w:val="ru-RU"/>
              </w:rPr>
              <w:t>Марица</w:t>
            </w:r>
            <w:proofErr w:type="spellEnd"/>
            <w:r w:rsidRPr="001D43C0">
              <w:rPr>
                <w:rFonts w:ascii="Times New Roman" w:eastAsia="Calibri" w:hAnsi="Times New Roman"/>
                <w:b/>
                <w:szCs w:val="24"/>
                <w:lang w:val="ru-RU"/>
              </w:rPr>
              <w:t xml:space="preserve"> </w:t>
            </w:r>
            <w:proofErr w:type="spellStart"/>
            <w:r w:rsidRPr="001D43C0">
              <w:rPr>
                <w:rFonts w:ascii="Times New Roman" w:eastAsia="Calibri" w:hAnsi="Times New Roman"/>
                <w:b/>
                <w:szCs w:val="24"/>
                <w:lang w:val="ru-RU"/>
              </w:rPr>
              <w:t>Изток</w:t>
            </w:r>
            <w:proofErr w:type="spellEnd"/>
            <w:r w:rsidRPr="001D43C0">
              <w:rPr>
                <w:rFonts w:ascii="Times New Roman" w:eastAsia="Calibri" w:hAnsi="Times New Roman"/>
                <w:b/>
                <w:szCs w:val="24"/>
                <w:lang w:val="ru-RU"/>
              </w:rPr>
              <w:t xml:space="preserve"> 1</w:t>
            </w:r>
          </w:p>
          <w:p w:rsidR="000C2A38" w:rsidRPr="001D43C0" w:rsidRDefault="000C2A38" w:rsidP="00335835">
            <w:pPr>
              <w:spacing w:after="200" w:line="276" w:lineRule="auto"/>
              <w:ind w:left="127" w:firstLine="708"/>
              <w:jc w:val="both"/>
              <w:rPr>
                <w:rFonts w:ascii="Times New Roman" w:eastAsia="Calibri" w:hAnsi="Times New Roman"/>
                <w:b/>
                <w:szCs w:val="24"/>
                <w:u w:val="single"/>
                <w:lang w:val="en-US"/>
              </w:rPr>
            </w:pPr>
            <w:r w:rsidRPr="001D43C0">
              <w:rPr>
                <w:rFonts w:ascii="Times New Roman" w:eastAsia="Calibri" w:hAnsi="Times New Roman"/>
                <w:b/>
                <w:szCs w:val="24"/>
                <w:lang w:val="en-US"/>
              </w:rPr>
              <w:t>(</w:t>
            </w:r>
            <w:r w:rsidRPr="001D43C0">
              <w:rPr>
                <w:rFonts w:ascii="Times New Roman" w:eastAsia="Calibri" w:hAnsi="Times New Roman"/>
                <w:b/>
                <w:szCs w:val="24"/>
                <w:lang w:val="ru-RU"/>
              </w:rPr>
              <w:t>МИ</w:t>
            </w:r>
            <w:r w:rsidRPr="001D43C0">
              <w:rPr>
                <w:rFonts w:ascii="Times New Roman" w:eastAsia="Calibri" w:hAnsi="Times New Roman"/>
                <w:b/>
                <w:szCs w:val="24"/>
                <w:lang w:val="en-US"/>
              </w:rPr>
              <w:t xml:space="preserve"> </w:t>
            </w:r>
            <w:r w:rsidRPr="001D43C0">
              <w:rPr>
                <w:rFonts w:ascii="Times New Roman" w:eastAsia="Calibri" w:hAnsi="Times New Roman"/>
                <w:b/>
                <w:szCs w:val="24"/>
                <w:lang w:val="ru-RU"/>
              </w:rPr>
              <w:t>1</w:t>
            </w:r>
            <w:r w:rsidRPr="001D43C0">
              <w:rPr>
                <w:rFonts w:ascii="Times New Roman" w:eastAsia="Calibri" w:hAnsi="Times New Roman"/>
                <w:b/>
                <w:szCs w:val="24"/>
                <w:lang w:val="en-US"/>
              </w:rPr>
              <w:t>)</w:t>
            </w:r>
          </w:p>
        </w:tc>
        <w:tc>
          <w:tcPr>
            <w:tcW w:w="1334"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2 413 826</w:t>
            </w:r>
          </w:p>
        </w:tc>
        <w:tc>
          <w:tcPr>
            <w:tcW w:w="1458"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486 889</w:t>
            </w:r>
          </w:p>
        </w:tc>
        <w:tc>
          <w:tcPr>
            <w:tcW w:w="1322"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201,71</w:t>
            </w:r>
          </w:p>
        </w:tc>
        <w:tc>
          <w:tcPr>
            <w:tcW w:w="1676"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80,00</w:t>
            </w:r>
          </w:p>
        </w:tc>
        <w:tc>
          <w:tcPr>
            <w:tcW w:w="1515"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40%</w:t>
            </w:r>
          </w:p>
        </w:tc>
      </w:tr>
      <w:tr w:rsidR="000C2A38" w:rsidRPr="001D43C0" w:rsidTr="00335835">
        <w:trPr>
          <w:trHeight w:val="465"/>
        </w:trPr>
        <w:tc>
          <w:tcPr>
            <w:tcW w:w="2760" w:type="dxa"/>
          </w:tcPr>
          <w:p w:rsidR="000C2A38" w:rsidRPr="001D43C0" w:rsidRDefault="000C2A38" w:rsidP="00335835">
            <w:pPr>
              <w:spacing w:after="200" w:line="276" w:lineRule="auto"/>
              <w:jc w:val="both"/>
              <w:rPr>
                <w:rFonts w:ascii="Times New Roman" w:eastAsia="Calibri" w:hAnsi="Times New Roman"/>
                <w:szCs w:val="24"/>
                <w:lang w:val="ru-RU"/>
              </w:rPr>
            </w:pPr>
            <w:proofErr w:type="spellStart"/>
            <w:r w:rsidRPr="001D43C0">
              <w:rPr>
                <w:rFonts w:ascii="Times New Roman" w:eastAsia="Calibri" w:hAnsi="Times New Roman"/>
                <w:szCs w:val="24"/>
                <w:lang w:val="ru-RU"/>
              </w:rPr>
              <w:t>енергия</w:t>
            </w:r>
            <w:proofErr w:type="spellEnd"/>
          </w:p>
        </w:tc>
        <w:tc>
          <w:tcPr>
            <w:tcW w:w="1334"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2 413 862</w:t>
            </w:r>
          </w:p>
        </w:tc>
        <w:tc>
          <w:tcPr>
            <w:tcW w:w="1458"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159 048</w:t>
            </w:r>
          </w:p>
        </w:tc>
        <w:tc>
          <w:tcPr>
            <w:tcW w:w="1322"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65,89</w:t>
            </w:r>
          </w:p>
        </w:tc>
        <w:tc>
          <w:tcPr>
            <w:tcW w:w="1676"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c>
          <w:tcPr>
            <w:tcW w:w="1515"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r w:rsidR="000C2A38" w:rsidRPr="001D43C0" w:rsidTr="00335835">
        <w:trPr>
          <w:trHeight w:val="570"/>
        </w:trPr>
        <w:tc>
          <w:tcPr>
            <w:tcW w:w="2760" w:type="dxa"/>
          </w:tcPr>
          <w:p w:rsidR="000C2A38" w:rsidRPr="001D43C0" w:rsidRDefault="000C2A38" w:rsidP="00335835">
            <w:pPr>
              <w:spacing w:after="200" w:line="276" w:lineRule="auto"/>
              <w:jc w:val="both"/>
              <w:rPr>
                <w:rFonts w:ascii="Times New Roman" w:eastAsia="Calibri" w:hAnsi="Times New Roman"/>
                <w:szCs w:val="24"/>
                <w:lang w:val="ru-RU"/>
              </w:rPr>
            </w:pPr>
            <w:proofErr w:type="spellStart"/>
            <w:r w:rsidRPr="001D43C0">
              <w:rPr>
                <w:rFonts w:ascii="Times New Roman" w:eastAsia="Calibri" w:hAnsi="Times New Roman"/>
                <w:szCs w:val="24"/>
                <w:lang w:val="ru-RU"/>
              </w:rPr>
              <w:t>разполагаемост</w:t>
            </w:r>
            <w:proofErr w:type="spellEnd"/>
          </w:p>
        </w:tc>
        <w:tc>
          <w:tcPr>
            <w:tcW w:w="1334"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2 413 862</w:t>
            </w:r>
          </w:p>
        </w:tc>
        <w:tc>
          <w:tcPr>
            <w:tcW w:w="1458"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179 048</w:t>
            </w:r>
          </w:p>
        </w:tc>
        <w:tc>
          <w:tcPr>
            <w:tcW w:w="1322"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74,19</w:t>
            </w:r>
          </w:p>
        </w:tc>
        <w:tc>
          <w:tcPr>
            <w:tcW w:w="1676"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c>
          <w:tcPr>
            <w:tcW w:w="1515"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r w:rsidR="000C2A38" w:rsidRPr="001D43C0" w:rsidTr="00335835">
        <w:trPr>
          <w:trHeight w:val="660"/>
        </w:trPr>
        <w:tc>
          <w:tcPr>
            <w:tcW w:w="2760" w:type="dxa"/>
          </w:tcPr>
          <w:p w:rsidR="000C2A38" w:rsidRPr="001D43C0" w:rsidRDefault="000C2A38" w:rsidP="00335835">
            <w:pPr>
              <w:spacing w:after="200" w:line="276" w:lineRule="auto"/>
              <w:ind w:left="127"/>
              <w:jc w:val="both"/>
              <w:rPr>
                <w:rFonts w:ascii="Times New Roman" w:eastAsia="Calibri" w:hAnsi="Times New Roman"/>
                <w:szCs w:val="24"/>
                <w:lang w:val="ru-RU"/>
              </w:rPr>
            </w:pPr>
            <w:proofErr w:type="spellStart"/>
            <w:r w:rsidRPr="001D43C0">
              <w:rPr>
                <w:rFonts w:ascii="Times New Roman" w:eastAsia="Calibri" w:hAnsi="Times New Roman"/>
                <w:szCs w:val="24"/>
                <w:lang w:val="ru-RU"/>
              </w:rPr>
              <w:t>неизкупена</w:t>
            </w:r>
            <w:proofErr w:type="spellEnd"/>
            <w:r w:rsidRPr="001D43C0">
              <w:rPr>
                <w:rFonts w:ascii="Times New Roman" w:eastAsia="Calibri" w:hAnsi="Times New Roman"/>
                <w:szCs w:val="24"/>
                <w:lang w:val="ru-RU"/>
              </w:rPr>
              <w:t xml:space="preserve"> </w:t>
            </w:r>
            <w:proofErr w:type="spellStart"/>
            <w:r w:rsidRPr="001D43C0">
              <w:rPr>
                <w:rFonts w:ascii="Times New Roman" w:eastAsia="Calibri" w:hAnsi="Times New Roman"/>
                <w:szCs w:val="24"/>
                <w:lang w:val="ru-RU"/>
              </w:rPr>
              <w:t>разполагаемост</w:t>
            </w:r>
            <w:proofErr w:type="spellEnd"/>
            <w:r w:rsidRPr="001D43C0">
              <w:rPr>
                <w:rFonts w:ascii="Times New Roman" w:eastAsia="Calibri" w:hAnsi="Times New Roman"/>
                <w:szCs w:val="24"/>
                <w:lang w:val="ru-RU"/>
              </w:rPr>
              <w:t xml:space="preserve"> </w:t>
            </w:r>
          </w:p>
        </w:tc>
        <w:tc>
          <w:tcPr>
            <w:tcW w:w="1334"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2 005 083</w:t>
            </w:r>
          </w:p>
        </w:tc>
        <w:tc>
          <w:tcPr>
            <w:tcW w:w="1458"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148 757</w:t>
            </w:r>
          </w:p>
        </w:tc>
        <w:tc>
          <w:tcPr>
            <w:tcW w:w="1322"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74,19</w:t>
            </w:r>
          </w:p>
        </w:tc>
        <w:tc>
          <w:tcPr>
            <w:tcW w:w="1676"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c>
          <w:tcPr>
            <w:tcW w:w="1515"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r w:rsidR="000C2A38" w:rsidRPr="001D43C0" w:rsidTr="00335835">
        <w:trPr>
          <w:trHeight w:val="521"/>
        </w:trPr>
        <w:tc>
          <w:tcPr>
            <w:tcW w:w="2760" w:type="dxa"/>
          </w:tcPr>
          <w:p w:rsidR="000C2A38" w:rsidRPr="001D43C0" w:rsidRDefault="000C2A38" w:rsidP="00335835">
            <w:pPr>
              <w:spacing w:after="200" w:line="276" w:lineRule="auto"/>
              <w:jc w:val="both"/>
              <w:rPr>
                <w:rFonts w:ascii="Times New Roman" w:eastAsia="Calibri" w:hAnsi="Times New Roman"/>
                <w:b/>
                <w:szCs w:val="24"/>
                <w:lang w:val="en-US"/>
              </w:rPr>
            </w:pPr>
            <w:proofErr w:type="spellStart"/>
            <w:r w:rsidRPr="001D43C0">
              <w:rPr>
                <w:rFonts w:ascii="Times New Roman" w:eastAsia="Calibri" w:hAnsi="Times New Roman"/>
                <w:b/>
                <w:szCs w:val="24"/>
                <w:lang w:val="ru-RU"/>
              </w:rPr>
              <w:t>Марица</w:t>
            </w:r>
            <w:proofErr w:type="spellEnd"/>
            <w:r w:rsidRPr="001D43C0">
              <w:rPr>
                <w:rFonts w:ascii="Times New Roman" w:eastAsia="Calibri" w:hAnsi="Times New Roman"/>
                <w:b/>
                <w:szCs w:val="24"/>
                <w:lang w:val="ru-RU"/>
              </w:rPr>
              <w:t xml:space="preserve"> </w:t>
            </w:r>
            <w:proofErr w:type="spellStart"/>
            <w:r w:rsidRPr="001D43C0">
              <w:rPr>
                <w:rFonts w:ascii="Times New Roman" w:eastAsia="Calibri" w:hAnsi="Times New Roman"/>
                <w:b/>
                <w:szCs w:val="24"/>
                <w:lang w:val="ru-RU"/>
              </w:rPr>
              <w:t>Изток</w:t>
            </w:r>
            <w:proofErr w:type="spellEnd"/>
            <w:r w:rsidRPr="001D43C0">
              <w:rPr>
                <w:rFonts w:ascii="Times New Roman" w:eastAsia="Calibri" w:hAnsi="Times New Roman"/>
                <w:b/>
                <w:szCs w:val="24"/>
                <w:lang w:val="ru-RU"/>
              </w:rPr>
              <w:t xml:space="preserve"> 3</w:t>
            </w:r>
            <w:r w:rsidRPr="001D43C0">
              <w:rPr>
                <w:rFonts w:ascii="Times New Roman" w:eastAsia="Calibri" w:hAnsi="Times New Roman"/>
                <w:b/>
                <w:szCs w:val="24"/>
                <w:lang w:val="en-US"/>
              </w:rPr>
              <w:t xml:space="preserve"> (</w:t>
            </w:r>
            <w:r w:rsidRPr="001D43C0">
              <w:rPr>
                <w:rFonts w:ascii="Times New Roman" w:eastAsia="Calibri" w:hAnsi="Times New Roman"/>
                <w:b/>
                <w:szCs w:val="24"/>
                <w:lang w:val="ru-RU"/>
              </w:rPr>
              <w:t>МИ3</w:t>
            </w:r>
            <w:r w:rsidRPr="001D43C0">
              <w:rPr>
                <w:rFonts w:ascii="Times New Roman" w:eastAsia="Calibri" w:hAnsi="Times New Roman"/>
                <w:b/>
                <w:szCs w:val="24"/>
                <w:lang w:val="en-US"/>
              </w:rPr>
              <w:t>)</w:t>
            </w:r>
          </w:p>
        </w:tc>
        <w:tc>
          <w:tcPr>
            <w:tcW w:w="1334"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3 155 866</w:t>
            </w:r>
          </w:p>
        </w:tc>
        <w:tc>
          <w:tcPr>
            <w:tcW w:w="1458"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440 079</w:t>
            </w:r>
          </w:p>
        </w:tc>
        <w:tc>
          <w:tcPr>
            <w:tcW w:w="1322"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139,45</w:t>
            </w:r>
          </w:p>
        </w:tc>
        <w:tc>
          <w:tcPr>
            <w:tcW w:w="1676"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80, 00</w:t>
            </w:r>
          </w:p>
        </w:tc>
        <w:tc>
          <w:tcPr>
            <w:tcW w:w="1515" w:type="dxa"/>
            <w:shd w:val="clear" w:color="auto" w:fill="auto"/>
          </w:tcPr>
          <w:p w:rsidR="000C2A38" w:rsidRPr="001D43C0" w:rsidRDefault="000C2A38" w:rsidP="00335835">
            <w:pPr>
              <w:rPr>
                <w:rFonts w:ascii="Times New Roman" w:eastAsia="Calibri" w:hAnsi="Times New Roman"/>
                <w:b/>
                <w:szCs w:val="24"/>
                <w:lang w:val="ru-RU"/>
              </w:rPr>
            </w:pPr>
            <w:r w:rsidRPr="001D43C0">
              <w:rPr>
                <w:rFonts w:ascii="Times New Roman" w:eastAsia="Calibri" w:hAnsi="Times New Roman"/>
                <w:b/>
                <w:szCs w:val="24"/>
                <w:lang w:val="ru-RU"/>
              </w:rPr>
              <w:t>57%</w:t>
            </w:r>
          </w:p>
        </w:tc>
      </w:tr>
      <w:tr w:rsidR="000C2A38" w:rsidRPr="001D43C0" w:rsidTr="00335835">
        <w:trPr>
          <w:trHeight w:val="465"/>
        </w:trPr>
        <w:tc>
          <w:tcPr>
            <w:tcW w:w="2760" w:type="dxa"/>
          </w:tcPr>
          <w:p w:rsidR="000C2A38" w:rsidRPr="001D43C0" w:rsidRDefault="000C2A38" w:rsidP="00335835">
            <w:pPr>
              <w:spacing w:after="200" w:line="276" w:lineRule="auto"/>
              <w:jc w:val="both"/>
              <w:rPr>
                <w:rFonts w:ascii="Times New Roman" w:eastAsia="Calibri" w:hAnsi="Times New Roman"/>
                <w:szCs w:val="24"/>
                <w:lang w:val="ru-RU"/>
              </w:rPr>
            </w:pPr>
            <w:proofErr w:type="spellStart"/>
            <w:r w:rsidRPr="001D43C0">
              <w:rPr>
                <w:rFonts w:ascii="Times New Roman" w:eastAsia="Calibri" w:hAnsi="Times New Roman"/>
                <w:szCs w:val="24"/>
                <w:lang w:val="ru-RU"/>
              </w:rPr>
              <w:t>енергия</w:t>
            </w:r>
            <w:proofErr w:type="spellEnd"/>
          </w:p>
        </w:tc>
        <w:tc>
          <w:tcPr>
            <w:tcW w:w="1334"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3 155 866</w:t>
            </w:r>
          </w:p>
        </w:tc>
        <w:tc>
          <w:tcPr>
            <w:tcW w:w="1458"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159 464</w:t>
            </w:r>
          </w:p>
        </w:tc>
        <w:tc>
          <w:tcPr>
            <w:tcW w:w="1322"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50,53</w:t>
            </w:r>
          </w:p>
        </w:tc>
        <w:tc>
          <w:tcPr>
            <w:tcW w:w="1676"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c>
          <w:tcPr>
            <w:tcW w:w="1515"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r w:rsidR="000C2A38" w:rsidRPr="001D43C0" w:rsidTr="00335835">
        <w:trPr>
          <w:trHeight w:val="720"/>
        </w:trPr>
        <w:tc>
          <w:tcPr>
            <w:tcW w:w="2760" w:type="dxa"/>
          </w:tcPr>
          <w:p w:rsidR="000C2A38" w:rsidRPr="001D43C0" w:rsidRDefault="000C2A38" w:rsidP="00335835">
            <w:pPr>
              <w:spacing w:after="200" w:line="276" w:lineRule="auto"/>
              <w:jc w:val="both"/>
              <w:rPr>
                <w:rFonts w:ascii="Times New Roman" w:eastAsia="Calibri" w:hAnsi="Times New Roman"/>
                <w:szCs w:val="24"/>
                <w:lang w:val="ru-RU"/>
              </w:rPr>
            </w:pPr>
            <w:proofErr w:type="spellStart"/>
            <w:r w:rsidRPr="001D43C0">
              <w:rPr>
                <w:rFonts w:ascii="Times New Roman" w:eastAsia="Calibri" w:hAnsi="Times New Roman"/>
                <w:szCs w:val="24"/>
                <w:lang w:val="ru-RU"/>
              </w:rPr>
              <w:t>разполагаемост</w:t>
            </w:r>
            <w:proofErr w:type="spellEnd"/>
          </w:p>
        </w:tc>
        <w:tc>
          <w:tcPr>
            <w:tcW w:w="1334"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3 155 866</w:t>
            </w:r>
          </w:p>
        </w:tc>
        <w:tc>
          <w:tcPr>
            <w:tcW w:w="1458"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154 953</w:t>
            </w:r>
          </w:p>
        </w:tc>
        <w:tc>
          <w:tcPr>
            <w:tcW w:w="1322"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49,10</w:t>
            </w:r>
          </w:p>
        </w:tc>
        <w:tc>
          <w:tcPr>
            <w:tcW w:w="1676"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c>
          <w:tcPr>
            <w:tcW w:w="1515"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r w:rsidR="000C2A38" w:rsidRPr="001D43C0" w:rsidTr="00335835">
        <w:trPr>
          <w:trHeight w:val="975"/>
        </w:trPr>
        <w:tc>
          <w:tcPr>
            <w:tcW w:w="2760" w:type="dxa"/>
            <w:tcBorders>
              <w:bottom w:val="single" w:sz="4" w:space="0" w:color="auto"/>
            </w:tcBorders>
          </w:tcPr>
          <w:p w:rsidR="000C2A38" w:rsidRPr="001D43C0" w:rsidRDefault="000C2A38" w:rsidP="00335835">
            <w:pPr>
              <w:spacing w:after="200" w:line="276" w:lineRule="auto"/>
              <w:jc w:val="both"/>
              <w:rPr>
                <w:rFonts w:ascii="Times New Roman" w:eastAsia="Calibri" w:hAnsi="Times New Roman"/>
                <w:szCs w:val="24"/>
              </w:rPr>
            </w:pPr>
            <w:r w:rsidRPr="001D43C0">
              <w:rPr>
                <w:rFonts w:ascii="Times New Roman" w:eastAsia="Calibri" w:hAnsi="Times New Roman"/>
                <w:szCs w:val="24"/>
              </w:rPr>
              <w:t xml:space="preserve">неизкупена </w:t>
            </w:r>
            <w:proofErr w:type="spellStart"/>
            <w:r w:rsidRPr="001D43C0">
              <w:rPr>
                <w:rFonts w:ascii="Times New Roman" w:eastAsia="Calibri" w:hAnsi="Times New Roman"/>
                <w:szCs w:val="24"/>
              </w:rPr>
              <w:t>разполагаемост</w:t>
            </w:r>
            <w:proofErr w:type="spellEnd"/>
          </w:p>
        </w:tc>
        <w:tc>
          <w:tcPr>
            <w:tcW w:w="1334"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2 559 310</w:t>
            </w:r>
          </w:p>
        </w:tc>
        <w:tc>
          <w:tcPr>
            <w:tcW w:w="1458"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125 662</w:t>
            </w:r>
          </w:p>
        </w:tc>
        <w:tc>
          <w:tcPr>
            <w:tcW w:w="1322"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49,10</w:t>
            </w:r>
          </w:p>
        </w:tc>
        <w:tc>
          <w:tcPr>
            <w:tcW w:w="1676"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c>
          <w:tcPr>
            <w:tcW w:w="1515" w:type="dxa"/>
            <w:shd w:val="clear" w:color="auto" w:fill="auto"/>
          </w:tcPr>
          <w:p w:rsidR="000C2A38" w:rsidRPr="001D43C0" w:rsidRDefault="000C2A38" w:rsidP="00335835">
            <w:pPr>
              <w:rPr>
                <w:rFonts w:ascii="Times New Roman" w:eastAsia="Calibri" w:hAnsi="Times New Roman"/>
                <w:szCs w:val="24"/>
                <w:lang w:val="ru-RU"/>
              </w:rPr>
            </w:pPr>
            <w:r w:rsidRPr="001D43C0">
              <w:rPr>
                <w:rFonts w:ascii="Times New Roman" w:eastAsia="Calibri" w:hAnsi="Times New Roman"/>
                <w:szCs w:val="24"/>
                <w:lang w:val="ru-RU"/>
              </w:rPr>
              <w:t>-</w:t>
            </w:r>
          </w:p>
        </w:tc>
      </w:tr>
    </w:tbl>
    <w:p w:rsidR="000C2A38" w:rsidRDefault="000C2A38" w:rsidP="000C2A38">
      <w:pPr>
        <w:pStyle w:val="BodyTextIndent"/>
        <w:ind w:left="0"/>
        <w:jc w:val="both"/>
        <w:rPr>
          <w:color w:val="000000"/>
          <w:sz w:val="28"/>
          <w:szCs w:val="28"/>
        </w:rPr>
      </w:pPr>
    </w:p>
    <w:p w:rsidR="000C2A38" w:rsidRPr="00A209ED" w:rsidRDefault="000C2A38" w:rsidP="000C2A38">
      <w:pPr>
        <w:pStyle w:val="BodyTextIndent"/>
        <w:ind w:left="0" w:firstLine="708"/>
        <w:jc w:val="both"/>
        <w:rPr>
          <w:color w:val="000000"/>
          <w:sz w:val="28"/>
          <w:szCs w:val="28"/>
        </w:rPr>
      </w:pPr>
      <w:r w:rsidRPr="00A209ED">
        <w:rPr>
          <w:color w:val="000000"/>
          <w:sz w:val="28"/>
          <w:szCs w:val="28"/>
        </w:rPr>
        <w:t>В допълнение на горните обстоятелства на Комисията бяха представени доклади на Агенцията за държавен и финансов надзор (АДФИ) от извършени проверки по прилагане на Закона за обществените поръчки. Съгласно доклад №ДП2СЗ-3/06. 04.2015 г. при проверката на "Ей и Ес 3С Марица изток 1" ЕООД е констатирано, че в периода 2013 – 2014 г. дружеството не е провело 113 броя процедури по реда на ЗОП на стойност 104 707 993 лева. Сред тях са процедурите за ремонт на релсов път за багери на стойност 1 169 929 лв., доставка на варовик и хидратна вар, емисионни кредити за замърсяване с въглероден диоксид за емисии, отделени от централата, доставка на химически продукти, доставка на части за ремонт и поддръжка на машини, и др. на обща стойност 64 149 953 лв., както и юридически услуги, застраховки, обща поддръжка на територията на централата и др. на обща стойност 39 388 110 лв.</w:t>
      </w:r>
    </w:p>
    <w:p w:rsidR="000C2A38" w:rsidRPr="00A209ED" w:rsidRDefault="000C2A38" w:rsidP="000C2A38">
      <w:pPr>
        <w:pStyle w:val="BodyTextIndent"/>
        <w:ind w:left="0" w:firstLine="360"/>
        <w:jc w:val="both"/>
        <w:rPr>
          <w:color w:val="000000"/>
          <w:sz w:val="28"/>
          <w:szCs w:val="28"/>
        </w:rPr>
      </w:pPr>
      <w:r w:rsidRPr="00A209ED">
        <w:rPr>
          <w:color w:val="000000"/>
          <w:sz w:val="28"/>
          <w:szCs w:val="28"/>
        </w:rPr>
        <w:t>За същия период "</w:t>
      </w:r>
      <w:proofErr w:type="spellStart"/>
      <w:r w:rsidRPr="00A209ED">
        <w:rPr>
          <w:color w:val="000000"/>
          <w:sz w:val="28"/>
          <w:szCs w:val="28"/>
        </w:rPr>
        <w:t>КонтурГлобал</w:t>
      </w:r>
      <w:proofErr w:type="spellEnd"/>
      <w:r w:rsidRPr="00A209ED">
        <w:rPr>
          <w:color w:val="000000"/>
          <w:sz w:val="28"/>
          <w:szCs w:val="28"/>
        </w:rPr>
        <w:t xml:space="preserve"> Марица Изток 3"АД не е провело 5 броя процедури на обща стойност 9 111 410 лв. </w:t>
      </w:r>
    </w:p>
    <w:p w:rsidR="000C2A38" w:rsidRPr="001D43C0" w:rsidRDefault="000C2A38" w:rsidP="000C2A38">
      <w:pPr>
        <w:pStyle w:val="BodyTextIndent"/>
        <w:ind w:left="0"/>
        <w:jc w:val="both"/>
        <w:rPr>
          <w:b/>
          <w:color w:val="000000"/>
          <w:sz w:val="28"/>
          <w:szCs w:val="28"/>
        </w:rPr>
      </w:pPr>
      <w:r w:rsidRPr="001D43C0">
        <w:rPr>
          <w:b/>
          <w:color w:val="000000"/>
          <w:sz w:val="28"/>
          <w:szCs w:val="28"/>
        </w:rPr>
        <w:t xml:space="preserve">Непровеждането на процедури за възлагане на обществени поръчки от двете дружества в такива големи размери още веднъж поставя въпросът </w:t>
      </w:r>
      <w:r w:rsidRPr="001D43C0">
        <w:rPr>
          <w:b/>
          <w:color w:val="000000"/>
          <w:sz w:val="28"/>
          <w:szCs w:val="28"/>
        </w:rPr>
        <w:lastRenderedPageBreak/>
        <w:t>за обосноваността на техните разходи, които по силата на описаните договори се включват в цените.</w:t>
      </w:r>
    </w:p>
    <w:p w:rsidR="000C2A38" w:rsidRPr="001D43C0" w:rsidRDefault="000C2A38" w:rsidP="000C2A38">
      <w:pPr>
        <w:pStyle w:val="BodyTextIndent"/>
        <w:ind w:left="0"/>
        <w:jc w:val="both"/>
        <w:rPr>
          <w:b/>
          <w:color w:val="000000"/>
          <w:sz w:val="28"/>
          <w:szCs w:val="28"/>
        </w:rPr>
      </w:pPr>
      <w:r>
        <w:rPr>
          <w:b/>
          <w:color w:val="000000"/>
          <w:sz w:val="28"/>
          <w:szCs w:val="28"/>
        </w:rPr>
        <w:t>4.2</w:t>
      </w:r>
      <w:r w:rsidRPr="001D43C0">
        <w:rPr>
          <w:b/>
          <w:color w:val="000000"/>
          <w:sz w:val="28"/>
          <w:szCs w:val="28"/>
        </w:rPr>
        <w:t>.</w:t>
      </w:r>
      <w:r w:rsidRPr="001D43C0">
        <w:rPr>
          <w:b/>
          <w:color w:val="000000"/>
          <w:sz w:val="28"/>
          <w:szCs w:val="28"/>
        </w:rPr>
        <w:tab/>
        <w:t>Отражение върху електроенергийната система:</w:t>
      </w:r>
    </w:p>
    <w:p w:rsidR="000C2A38" w:rsidRDefault="000C2A38" w:rsidP="000C2A38">
      <w:pPr>
        <w:pStyle w:val="BodyTextIndent"/>
        <w:ind w:left="0"/>
        <w:jc w:val="both"/>
        <w:rPr>
          <w:color w:val="000000"/>
          <w:sz w:val="28"/>
          <w:szCs w:val="28"/>
        </w:rPr>
      </w:pPr>
      <w:r w:rsidRPr="00A209ED">
        <w:rPr>
          <w:color w:val="000000"/>
          <w:sz w:val="28"/>
          <w:szCs w:val="28"/>
        </w:rPr>
        <w:t>Количеството електрическа енергия, която НЕК ЕАД е задължено да изкупува по силата на двата договора е много по-голямо от реалното потребление на електрическа енергия на регулирания пазар .</w:t>
      </w:r>
    </w:p>
    <w:p w:rsidR="000C2A38" w:rsidRPr="001D43C0" w:rsidRDefault="000C2A38" w:rsidP="000C2A38">
      <w:pPr>
        <w:pStyle w:val="BodyTextIndent"/>
        <w:ind w:left="0" w:firstLine="708"/>
        <w:jc w:val="both"/>
        <w:rPr>
          <w:color w:val="000000"/>
          <w:sz w:val="28"/>
          <w:szCs w:val="28"/>
        </w:rPr>
      </w:pPr>
      <w:r w:rsidRPr="001D43C0">
        <w:rPr>
          <w:color w:val="000000"/>
          <w:sz w:val="28"/>
          <w:szCs w:val="28"/>
        </w:rPr>
        <w:t xml:space="preserve">В Решение № ЕЕ-1 от 27. 05. 2014 г. на ДКЕВР се посочва, че прогнозните стойности на количествата електрическата енергия, които ще бъдат продавани от крайните снабдители по регулирани цени през периода 01.07.2014 г.-31.06.2015 г. са 16 221 532 </w:t>
      </w:r>
      <w:proofErr w:type="spellStart"/>
      <w:r w:rsidRPr="001D43C0">
        <w:rPr>
          <w:color w:val="000000"/>
          <w:sz w:val="28"/>
          <w:szCs w:val="28"/>
        </w:rPr>
        <w:t>MWh</w:t>
      </w:r>
      <w:proofErr w:type="spellEnd"/>
      <w:r w:rsidRPr="001D43C0">
        <w:rPr>
          <w:color w:val="000000"/>
          <w:sz w:val="28"/>
          <w:szCs w:val="28"/>
        </w:rPr>
        <w:t xml:space="preserve">, което представлява намаление с 9% спрямо предходния ценови период. При условие, че общественият доставчик за периода 01.07.2014 г.-31.06.2015 г. изкупува само минималното задължително количество енергия от ТЕЦ „Ей и Ес 3C Марица Изток 1“ и ТЕЦ „Контур </w:t>
      </w:r>
      <w:proofErr w:type="spellStart"/>
      <w:r w:rsidRPr="001D43C0">
        <w:rPr>
          <w:color w:val="000000"/>
          <w:sz w:val="28"/>
          <w:szCs w:val="28"/>
        </w:rPr>
        <w:t>Глобал</w:t>
      </w:r>
      <w:proofErr w:type="spellEnd"/>
      <w:r w:rsidRPr="001D43C0">
        <w:rPr>
          <w:color w:val="000000"/>
          <w:sz w:val="28"/>
          <w:szCs w:val="28"/>
        </w:rPr>
        <w:t xml:space="preserve"> Марица Изток 3“, обезпечаващо договорените доставки на лигнитни въглища от мини “Марица Изток“, това количество възлиза на 17 243 500 </w:t>
      </w:r>
      <w:proofErr w:type="spellStart"/>
      <w:r w:rsidRPr="001D43C0">
        <w:rPr>
          <w:color w:val="000000"/>
          <w:sz w:val="28"/>
          <w:szCs w:val="28"/>
        </w:rPr>
        <w:t>МВтч</w:t>
      </w:r>
      <w:proofErr w:type="spellEnd"/>
      <w:r w:rsidRPr="001D43C0">
        <w:rPr>
          <w:color w:val="000000"/>
          <w:sz w:val="28"/>
          <w:szCs w:val="28"/>
        </w:rPr>
        <w:t xml:space="preserve">. Последното от своя страна прави енергията от двете централи изключително скъпа, защото по силата на сключените договори „НЕК“ ЕАД е задължено да изкупува цялата </w:t>
      </w:r>
      <w:proofErr w:type="spellStart"/>
      <w:r w:rsidRPr="001D43C0">
        <w:rPr>
          <w:color w:val="000000"/>
          <w:sz w:val="28"/>
          <w:szCs w:val="28"/>
        </w:rPr>
        <w:t>разполагаемост</w:t>
      </w:r>
      <w:proofErr w:type="spellEnd"/>
      <w:r w:rsidRPr="001D43C0">
        <w:rPr>
          <w:color w:val="000000"/>
          <w:sz w:val="28"/>
          <w:szCs w:val="28"/>
        </w:rPr>
        <w:t xml:space="preserve"> на ТЕЦ „Ей и Ес 3C Марица Изток 1“ и ТЕЦ „Контур </w:t>
      </w:r>
      <w:proofErr w:type="spellStart"/>
      <w:r w:rsidRPr="001D43C0">
        <w:rPr>
          <w:color w:val="000000"/>
          <w:sz w:val="28"/>
          <w:szCs w:val="28"/>
        </w:rPr>
        <w:t>Глобал</w:t>
      </w:r>
      <w:proofErr w:type="spellEnd"/>
      <w:r w:rsidRPr="001D43C0">
        <w:rPr>
          <w:color w:val="000000"/>
          <w:sz w:val="28"/>
          <w:szCs w:val="28"/>
        </w:rPr>
        <w:t xml:space="preserve"> Марица Изток 3“. Общата стойност на изкупената, но не </w:t>
      </w:r>
      <w:proofErr w:type="spellStart"/>
      <w:r w:rsidRPr="001D43C0">
        <w:rPr>
          <w:color w:val="000000"/>
          <w:sz w:val="28"/>
          <w:szCs w:val="28"/>
        </w:rPr>
        <w:t>потребена</w:t>
      </w:r>
      <w:proofErr w:type="spellEnd"/>
      <w:r w:rsidRPr="001D43C0">
        <w:rPr>
          <w:color w:val="000000"/>
          <w:sz w:val="28"/>
          <w:szCs w:val="28"/>
        </w:rPr>
        <w:t xml:space="preserve"> енергия от двете централи, е в размер на 274, 4 млн. лв. само за следващия ценови период</w:t>
      </w:r>
      <w:r>
        <w:rPr>
          <w:color w:val="000000"/>
          <w:sz w:val="28"/>
          <w:szCs w:val="28"/>
        </w:rPr>
        <w:t xml:space="preserve"> – 1 година</w:t>
      </w:r>
      <w:r w:rsidRPr="001D43C0">
        <w:rPr>
          <w:color w:val="000000"/>
          <w:sz w:val="28"/>
          <w:szCs w:val="28"/>
        </w:rPr>
        <w:t xml:space="preserve">. </w:t>
      </w:r>
    </w:p>
    <w:p w:rsidR="000C2A38" w:rsidRPr="001D43C0" w:rsidRDefault="000C2A38" w:rsidP="000C2A38">
      <w:pPr>
        <w:pStyle w:val="BodyTextIndent"/>
        <w:ind w:left="0" w:firstLine="708"/>
        <w:jc w:val="both"/>
        <w:rPr>
          <w:color w:val="000000"/>
          <w:sz w:val="28"/>
          <w:szCs w:val="28"/>
        </w:rPr>
      </w:pPr>
      <w:r w:rsidRPr="001D43C0">
        <w:rPr>
          <w:b/>
          <w:color w:val="000000"/>
          <w:sz w:val="28"/>
          <w:szCs w:val="28"/>
        </w:rPr>
        <w:t xml:space="preserve">За 2015 г., по данни от „НЕК“ ЕАД,  се очаква от двете централи да се изкупят 17 585 349 </w:t>
      </w:r>
      <w:proofErr w:type="spellStart"/>
      <w:r w:rsidRPr="001D43C0">
        <w:rPr>
          <w:b/>
          <w:color w:val="000000"/>
          <w:sz w:val="28"/>
          <w:szCs w:val="28"/>
        </w:rPr>
        <w:t>MWh</w:t>
      </w:r>
      <w:proofErr w:type="spellEnd"/>
      <w:r w:rsidRPr="001D43C0">
        <w:rPr>
          <w:color w:val="000000"/>
          <w:sz w:val="28"/>
          <w:szCs w:val="28"/>
        </w:rPr>
        <w:t xml:space="preserve"> на обща стойност 1 049 439 000 лв. Едновременно с това в проекта за решение на КЕВР за 2015 г. за определяне на </w:t>
      </w:r>
      <w:proofErr w:type="spellStart"/>
      <w:r w:rsidRPr="001D43C0">
        <w:rPr>
          <w:color w:val="000000"/>
          <w:sz w:val="28"/>
          <w:szCs w:val="28"/>
        </w:rPr>
        <w:t>разполагаемостта</w:t>
      </w:r>
      <w:proofErr w:type="spellEnd"/>
      <w:r w:rsidRPr="001D43C0">
        <w:rPr>
          <w:color w:val="000000"/>
          <w:sz w:val="28"/>
          <w:szCs w:val="28"/>
        </w:rPr>
        <w:t xml:space="preserve"> за производство на електрическа енергия на производителите, от които общественият доставчик да изкупува електрическа енергия, както и количеството електрическа енергия, в съответствие с които общественият доставчик да сключва сделки с крайните снабдители, се посочва, че е установено че необходимото количество електрическа енергия за покриване нуждите от енергия в страната е в размер на 32 726 000 </w:t>
      </w:r>
      <w:proofErr w:type="spellStart"/>
      <w:r w:rsidRPr="001D43C0">
        <w:rPr>
          <w:color w:val="000000"/>
          <w:sz w:val="28"/>
          <w:szCs w:val="28"/>
        </w:rPr>
        <w:t>MWh</w:t>
      </w:r>
      <w:proofErr w:type="spellEnd"/>
      <w:r w:rsidRPr="001D43C0">
        <w:rPr>
          <w:color w:val="000000"/>
          <w:sz w:val="28"/>
          <w:szCs w:val="28"/>
        </w:rPr>
        <w:t xml:space="preserve">, от които </w:t>
      </w:r>
      <w:r w:rsidRPr="001D43C0">
        <w:rPr>
          <w:b/>
          <w:color w:val="000000"/>
          <w:sz w:val="28"/>
          <w:szCs w:val="28"/>
        </w:rPr>
        <w:t xml:space="preserve">15 356 856 </w:t>
      </w:r>
      <w:proofErr w:type="spellStart"/>
      <w:r w:rsidRPr="001D43C0">
        <w:rPr>
          <w:b/>
          <w:color w:val="000000"/>
          <w:sz w:val="28"/>
          <w:szCs w:val="28"/>
        </w:rPr>
        <w:t>MWh</w:t>
      </w:r>
      <w:proofErr w:type="spellEnd"/>
      <w:r w:rsidRPr="001D43C0">
        <w:rPr>
          <w:b/>
          <w:color w:val="000000"/>
          <w:sz w:val="28"/>
          <w:szCs w:val="28"/>
        </w:rPr>
        <w:t xml:space="preserve"> или 46,9% </w:t>
      </w:r>
      <w:r w:rsidRPr="001D43C0">
        <w:rPr>
          <w:color w:val="000000"/>
          <w:sz w:val="28"/>
          <w:szCs w:val="28"/>
        </w:rPr>
        <w:t xml:space="preserve">е за регулиран пазар, 3 978 770 </w:t>
      </w:r>
      <w:proofErr w:type="spellStart"/>
      <w:r w:rsidRPr="001D43C0">
        <w:rPr>
          <w:color w:val="000000"/>
          <w:sz w:val="28"/>
          <w:szCs w:val="28"/>
        </w:rPr>
        <w:t>MWh</w:t>
      </w:r>
      <w:proofErr w:type="spellEnd"/>
      <w:r w:rsidRPr="001D43C0">
        <w:rPr>
          <w:color w:val="000000"/>
          <w:sz w:val="28"/>
          <w:szCs w:val="28"/>
        </w:rPr>
        <w:t xml:space="preserve"> или 12,2% за технологични загуби по преноса и разпределението на електрическа енергия и 13 390 374 </w:t>
      </w:r>
      <w:proofErr w:type="spellStart"/>
      <w:r w:rsidRPr="001D43C0">
        <w:rPr>
          <w:color w:val="000000"/>
          <w:sz w:val="28"/>
          <w:szCs w:val="28"/>
        </w:rPr>
        <w:t>MWh</w:t>
      </w:r>
      <w:proofErr w:type="spellEnd"/>
      <w:r w:rsidRPr="001D43C0">
        <w:rPr>
          <w:color w:val="000000"/>
          <w:sz w:val="28"/>
          <w:szCs w:val="28"/>
        </w:rPr>
        <w:t xml:space="preserve"> е за свободен пазар вкл. доставчиците от последна инстанция или 40,9%.</w:t>
      </w:r>
    </w:p>
    <w:p w:rsidR="000C2A38" w:rsidRDefault="000C2A38" w:rsidP="000C2A38">
      <w:pPr>
        <w:pStyle w:val="BodyTextIndent"/>
        <w:ind w:left="0" w:firstLine="708"/>
        <w:jc w:val="both"/>
        <w:rPr>
          <w:color w:val="000000"/>
          <w:sz w:val="28"/>
          <w:szCs w:val="28"/>
        </w:rPr>
      </w:pPr>
      <w:r w:rsidRPr="001D43C0">
        <w:rPr>
          <w:b/>
          <w:color w:val="000000"/>
          <w:sz w:val="28"/>
          <w:szCs w:val="28"/>
        </w:rPr>
        <w:t xml:space="preserve">Тези факти още веднъж потвърждават, че количеството електрическа енергия, която НЕК ЕАД е задължено да изкупува по силата на двата договора е по-голямо от реалното потребление на електрическа енергия на регулирания пазар. </w:t>
      </w:r>
      <w:proofErr w:type="spellStart"/>
      <w:r w:rsidRPr="001D43C0">
        <w:rPr>
          <w:b/>
          <w:color w:val="000000"/>
          <w:sz w:val="28"/>
          <w:szCs w:val="28"/>
        </w:rPr>
        <w:t>Едноврменно</w:t>
      </w:r>
      <w:proofErr w:type="spellEnd"/>
      <w:r w:rsidRPr="001D43C0">
        <w:rPr>
          <w:b/>
          <w:color w:val="000000"/>
          <w:sz w:val="28"/>
          <w:szCs w:val="28"/>
        </w:rPr>
        <w:t xml:space="preserve"> с това цената която е договорена и дължима по тези договори е висока и непазарна</w:t>
      </w:r>
      <w:r w:rsidRPr="001D43C0">
        <w:rPr>
          <w:color w:val="000000"/>
          <w:sz w:val="28"/>
          <w:szCs w:val="28"/>
        </w:rPr>
        <w:t>.</w:t>
      </w:r>
      <w:r>
        <w:rPr>
          <w:color w:val="000000"/>
          <w:sz w:val="28"/>
          <w:szCs w:val="28"/>
        </w:rPr>
        <w:t xml:space="preserve"> </w:t>
      </w:r>
      <w:r>
        <w:rPr>
          <w:color w:val="000000"/>
          <w:sz w:val="28"/>
          <w:szCs w:val="28"/>
        </w:rPr>
        <w:lastRenderedPageBreak/>
        <w:t xml:space="preserve">Оставането в сила на тези договори би имало трайно негативно отражение върху пазара на електрическа енергия. </w:t>
      </w:r>
    </w:p>
    <w:p w:rsidR="000C2A38" w:rsidRPr="001D43C0" w:rsidRDefault="000C2A38" w:rsidP="000C2A38">
      <w:pPr>
        <w:pStyle w:val="BodyTextIndent"/>
        <w:ind w:left="0" w:firstLine="708"/>
        <w:jc w:val="both"/>
        <w:rPr>
          <w:b/>
          <w:color w:val="000000"/>
          <w:sz w:val="28"/>
          <w:szCs w:val="28"/>
        </w:rPr>
      </w:pPr>
      <w:r>
        <w:rPr>
          <w:b/>
          <w:color w:val="000000"/>
          <w:sz w:val="28"/>
          <w:szCs w:val="28"/>
        </w:rPr>
        <w:t>4.3.</w:t>
      </w:r>
      <w:r w:rsidRPr="001D43C0">
        <w:rPr>
          <w:b/>
          <w:color w:val="000000"/>
          <w:sz w:val="28"/>
          <w:szCs w:val="28"/>
        </w:rPr>
        <w:t xml:space="preserve"> Изводи и предложения:</w:t>
      </w:r>
    </w:p>
    <w:p w:rsidR="000C2A38" w:rsidRPr="001D43C0" w:rsidRDefault="000C2A38" w:rsidP="000C2A38">
      <w:pPr>
        <w:pStyle w:val="BodyTextIndent"/>
        <w:ind w:left="0" w:firstLine="708"/>
        <w:jc w:val="both"/>
        <w:rPr>
          <w:color w:val="000000"/>
          <w:sz w:val="28"/>
          <w:szCs w:val="28"/>
        </w:rPr>
      </w:pPr>
      <w:r w:rsidRPr="001D43C0">
        <w:rPr>
          <w:color w:val="000000"/>
          <w:sz w:val="28"/>
          <w:szCs w:val="28"/>
        </w:rPr>
        <w:t>Видно от описаните разпоредби в Д</w:t>
      </w:r>
      <w:r>
        <w:rPr>
          <w:color w:val="000000"/>
          <w:sz w:val="28"/>
          <w:szCs w:val="28"/>
        </w:rPr>
        <w:t>ългосрочни договори за изкупуване на електроенергия (ДДИЕ)</w:t>
      </w:r>
      <w:r w:rsidRPr="001D43C0">
        <w:rPr>
          <w:color w:val="000000"/>
          <w:sz w:val="28"/>
          <w:szCs w:val="28"/>
        </w:rPr>
        <w:t xml:space="preserve"> те предоставят комбинация от дългосрочно резервиране на капацитет, гарантирано минимално изкупуване на енергията, механизъм за определяне на цените, покриващ променливи, условно постоянни и капиталови разходи, в т.ч. гарантирана висока възвръщаемост на инвестициите и прехвърляне на всички рискове на "НЕК" ЕАД. Същото не съответства на стандартните договори за изкупуване на електрическа енергия, сключвани на европейските пазари. Условията по тези договори поставят "Ей и Ес 3С Марица изток 1" ЕООД  и "</w:t>
      </w:r>
      <w:proofErr w:type="spellStart"/>
      <w:r w:rsidRPr="001D43C0">
        <w:rPr>
          <w:color w:val="000000"/>
          <w:sz w:val="28"/>
          <w:szCs w:val="28"/>
        </w:rPr>
        <w:t>КонтурГлобал</w:t>
      </w:r>
      <w:proofErr w:type="spellEnd"/>
      <w:r w:rsidRPr="001D43C0">
        <w:rPr>
          <w:color w:val="000000"/>
          <w:sz w:val="28"/>
          <w:szCs w:val="28"/>
        </w:rPr>
        <w:t xml:space="preserve"> Марица Изток 3"АД в по-изгодно икономическо положение както от другите производители на енергия, така и от потенциалните нови участници на пазара. Ето защо по своята същност ДДИЕ несъмнено представляват предоставяне на  държавна помощ по смисъла на и в разрез със член 107, параграф 1 от Договора за функционирането на Европейския съюз, който предвижда обща забрана на държавната помощ в рамките на Общността. </w:t>
      </w:r>
    </w:p>
    <w:p w:rsidR="000C2A38" w:rsidRDefault="000C2A38" w:rsidP="000C2A38">
      <w:pPr>
        <w:pStyle w:val="BodyTextIndent"/>
        <w:ind w:left="0" w:firstLine="708"/>
        <w:jc w:val="both"/>
        <w:rPr>
          <w:color w:val="000000"/>
          <w:sz w:val="28"/>
          <w:szCs w:val="28"/>
        </w:rPr>
      </w:pPr>
      <w:r w:rsidRPr="001D43C0">
        <w:rPr>
          <w:color w:val="000000"/>
          <w:sz w:val="28"/>
          <w:szCs w:val="28"/>
        </w:rPr>
        <w:t>Република България подписа Договор за присъединяване към ЕС на 21. 06. 2005 г., който влезе в сила на 1 януари 2007 г. Считано от датата на присъединяване, разпоредбите на оригиналните основни договори и тези от вторичното законодателство станаха задължителни за България в съответствие с член 2 от Акта за присъединяване. Следователно така наречените достижения на правото на Общността се прилагат към всички договорни отношения в новите държави-членки и всякакви изключения от това правило могат да произтичат единствено от самия Акт за присъединяване. Актът за присъединяване, анексиран към Договора, и неговите приложения не предвиждат никакви изключения съгласно правилата за държавна помощ, които биха освободили договорите за дългосрочно изкупуване или енергийния сектор като цяло от прякото прилагане на законодателството на ЕО относно държавната помощ. В този смисъл следва да бъдат и действията предприети към ДДИЕ като към договори предоставящи неправомерна държавна помощ.</w:t>
      </w:r>
    </w:p>
    <w:p w:rsidR="000C2A38" w:rsidRDefault="000C2A38" w:rsidP="000C2A38">
      <w:pPr>
        <w:pStyle w:val="BodyTextIndent"/>
        <w:ind w:left="0" w:firstLine="708"/>
        <w:jc w:val="both"/>
        <w:rPr>
          <w:color w:val="000000"/>
          <w:sz w:val="28"/>
          <w:szCs w:val="28"/>
        </w:rPr>
      </w:pPr>
      <w:r>
        <w:rPr>
          <w:color w:val="000000"/>
          <w:sz w:val="28"/>
          <w:szCs w:val="28"/>
        </w:rPr>
        <w:t xml:space="preserve">България не е включила ДДИЕЕ в списъка със съществуващи държавни помощи при присъединяването към ЕС. </w:t>
      </w:r>
    </w:p>
    <w:p w:rsidR="000C2A38" w:rsidRDefault="000C2A38" w:rsidP="000C2A38">
      <w:pPr>
        <w:pStyle w:val="BodyTextIndent"/>
        <w:ind w:left="0" w:firstLine="708"/>
        <w:jc w:val="both"/>
        <w:rPr>
          <w:color w:val="000000"/>
          <w:sz w:val="28"/>
          <w:szCs w:val="28"/>
        </w:rPr>
      </w:pPr>
      <w:r>
        <w:rPr>
          <w:color w:val="000000"/>
          <w:sz w:val="28"/>
          <w:szCs w:val="28"/>
        </w:rPr>
        <w:t>В момента по отношение на двата дългосрочни договора в Главна дирекция „Конкуренция“ на ЕК има висяща процедура №</w:t>
      </w:r>
      <w:r>
        <w:rPr>
          <w:color w:val="000000"/>
          <w:sz w:val="28"/>
          <w:szCs w:val="28"/>
          <w:lang w:val="en-US"/>
        </w:rPr>
        <w:t xml:space="preserve">SA.39101 </w:t>
      </w:r>
      <w:r>
        <w:rPr>
          <w:color w:val="000000"/>
          <w:sz w:val="28"/>
          <w:szCs w:val="28"/>
        </w:rPr>
        <w:t>от</w:t>
      </w:r>
      <w:r>
        <w:rPr>
          <w:color w:val="000000"/>
          <w:sz w:val="28"/>
          <w:szCs w:val="28"/>
          <w:lang w:val="en-US"/>
        </w:rPr>
        <w:t xml:space="preserve"> 2014 </w:t>
      </w:r>
      <w:r>
        <w:rPr>
          <w:color w:val="000000"/>
          <w:sz w:val="28"/>
          <w:szCs w:val="28"/>
        </w:rPr>
        <w:t xml:space="preserve">г. започнала по жалба на стария състав на ДКЕВР от юни 2014 г. Временната анкетна комисия поиска данни от г-н Александър </w:t>
      </w:r>
      <w:proofErr w:type="spellStart"/>
      <w:r>
        <w:rPr>
          <w:color w:val="000000"/>
          <w:sz w:val="28"/>
          <w:szCs w:val="28"/>
        </w:rPr>
        <w:t>Италиенер</w:t>
      </w:r>
      <w:proofErr w:type="spellEnd"/>
      <w:r>
        <w:rPr>
          <w:color w:val="000000"/>
          <w:sz w:val="28"/>
          <w:szCs w:val="28"/>
        </w:rPr>
        <w:t xml:space="preserve">, главен директор на главна дирекция „Конкуренция“ за развитието по цитираното </w:t>
      </w:r>
      <w:r>
        <w:rPr>
          <w:color w:val="000000"/>
          <w:sz w:val="28"/>
          <w:szCs w:val="28"/>
        </w:rPr>
        <w:lastRenderedPageBreak/>
        <w:t xml:space="preserve">производство. Бе получен отговор и предстои да се осъществи и среща по въпросите касаещи двата дългосрочни договора. </w:t>
      </w:r>
    </w:p>
    <w:p w:rsidR="000C2A38" w:rsidRDefault="000C2A38" w:rsidP="000C2A38">
      <w:pPr>
        <w:pStyle w:val="BodyTextIndent"/>
        <w:ind w:left="0" w:firstLine="708"/>
        <w:jc w:val="both"/>
        <w:rPr>
          <w:color w:val="000000"/>
          <w:sz w:val="28"/>
          <w:szCs w:val="28"/>
        </w:rPr>
      </w:pPr>
      <w:r>
        <w:rPr>
          <w:color w:val="000000"/>
          <w:sz w:val="28"/>
          <w:szCs w:val="28"/>
        </w:rPr>
        <w:t xml:space="preserve">Проблемът с дългосрочните договори вече е намерил своето разрешение в Унгария и в Полша, където те са прекратени с решение на ЕК. В Полша, в процеса на разглеждане на случая с договорите от Главна дирекция „Конкуренция“ , </w:t>
      </w:r>
      <w:r w:rsidRPr="00D42341">
        <w:rPr>
          <w:color w:val="000000"/>
          <w:sz w:val="28"/>
          <w:szCs w:val="28"/>
        </w:rPr>
        <w:t>държавата</w:t>
      </w:r>
      <w:r>
        <w:rPr>
          <w:color w:val="000000"/>
          <w:sz w:val="28"/>
          <w:szCs w:val="28"/>
        </w:rPr>
        <w:t xml:space="preserve"> е изготвила и представила за одобрение и Закона за прекратяването на дългосрочните договори, който е разгледан и одобрен в същото производство на комисията. България в момента е в аналогично производство пред ЕК. Едновременно с това бе внесен и проект на закона за прекратяване на договорите. При изчисленията на </w:t>
      </w:r>
      <w:proofErr w:type="spellStart"/>
      <w:r>
        <w:rPr>
          <w:color w:val="000000"/>
          <w:sz w:val="28"/>
          <w:szCs w:val="28"/>
        </w:rPr>
        <w:t>невъзстановяемите</w:t>
      </w:r>
      <w:proofErr w:type="spellEnd"/>
      <w:r>
        <w:rPr>
          <w:color w:val="000000"/>
          <w:sz w:val="28"/>
          <w:szCs w:val="28"/>
        </w:rPr>
        <w:t xml:space="preserve"> разходи на двете централи, по реда на Методиката на ЕК, бе констатирано, че централите нямат такива разходи. Нещо повече изчисленията доведоха до отрицателни величини, което обезсмисля подписаните споразумения за заплащане на 800 </w:t>
      </w:r>
      <w:proofErr w:type="spellStart"/>
      <w:r>
        <w:rPr>
          <w:color w:val="000000"/>
          <w:sz w:val="28"/>
          <w:szCs w:val="28"/>
        </w:rPr>
        <w:t>милн</w:t>
      </w:r>
      <w:proofErr w:type="spellEnd"/>
      <w:r>
        <w:rPr>
          <w:color w:val="000000"/>
          <w:sz w:val="28"/>
          <w:szCs w:val="28"/>
        </w:rPr>
        <w:t>. Лева. от страна на купувача НЕК ЕАД.</w:t>
      </w:r>
    </w:p>
    <w:p w:rsidR="0064309E" w:rsidRDefault="0064309E">
      <w:bookmarkStart w:id="0" w:name="_GoBack"/>
      <w:bookmarkEnd w:id="0"/>
    </w:p>
    <w:sectPr w:rsidR="0064309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38"/>
    <w:rsid w:val="000C2A38"/>
    <w:rsid w:val="0064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38"/>
    <w:pPr>
      <w:spacing w:after="0" w:line="240" w:lineRule="auto"/>
    </w:pPr>
    <w:rPr>
      <w:rFonts w:ascii="Arial" w:eastAsia="Times New Roman" w:hAnsi="Arial" w:cs="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C2A38"/>
    <w:pPr>
      <w:ind w:left="720"/>
    </w:pPr>
    <w:rPr>
      <w:rFonts w:ascii="Times New Roman" w:hAnsi="Times New Roman"/>
    </w:rPr>
  </w:style>
  <w:style w:type="character" w:customStyle="1" w:styleId="BodyTextIndentChar">
    <w:name w:val="Body Text Indent Char"/>
    <w:basedOn w:val="DefaultParagraphFont"/>
    <w:link w:val="BodyTextIndent"/>
    <w:rsid w:val="000C2A38"/>
    <w:rPr>
      <w:rFonts w:ascii="Times New Roman" w:eastAsia="Times New Roman" w:hAnsi="Times New Roman" w:cs="Times New Roman"/>
      <w:sz w:val="24"/>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38"/>
    <w:pPr>
      <w:spacing w:after="0" w:line="240" w:lineRule="auto"/>
    </w:pPr>
    <w:rPr>
      <w:rFonts w:ascii="Arial" w:eastAsia="Times New Roman" w:hAnsi="Arial" w:cs="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C2A38"/>
    <w:pPr>
      <w:ind w:left="720"/>
    </w:pPr>
    <w:rPr>
      <w:rFonts w:ascii="Times New Roman" w:hAnsi="Times New Roman"/>
    </w:rPr>
  </w:style>
  <w:style w:type="character" w:customStyle="1" w:styleId="BodyTextIndentChar">
    <w:name w:val="Body Text Indent Char"/>
    <w:basedOn w:val="DefaultParagraphFont"/>
    <w:link w:val="BodyTextIndent"/>
    <w:rsid w:val="000C2A38"/>
    <w:rPr>
      <w:rFonts w:ascii="Times New Roman" w:eastAsia="Times New Roman" w:hAnsi="Times New Roman" w:cs="Times New Roman"/>
      <w:sz w:val="24"/>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pgpf</dc:creator>
  <cp:lastModifiedBy>pgpf</cp:lastModifiedBy>
  <cp:revision>1</cp:revision>
  <dcterms:created xsi:type="dcterms:W3CDTF">2015-07-31T09:17:00Z</dcterms:created>
  <dcterms:modified xsi:type="dcterms:W3CDTF">2015-07-31T09:18:00Z</dcterms:modified>
</cp:coreProperties>
</file>